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66C" w:rsidRPr="007749FB" w:rsidRDefault="00C27C0D" w:rsidP="007749FB">
      <w:pPr>
        <w:widowControl/>
        <w:wordWrap w:val="0"/>
        <w:spacing w:line="432" w:lineRule="auto"/>
        <w:jc w:val="center"/>
        <w:rPr>
          <w:rFonts w:ascii="华文中宋" w:eastAsia="华文中宋" w:hAnsi="华文中宋" w:cs="黑体" w:hint="eastAsia"/>
          <w:bCs/>
          <w:spacing w:val="20"/>
          <w:kern w:val="0"/>
          <w:sz w:val="36"/>
          <w:szCs w:val="28"/>
        </w:rPr>
      </w:pPr>
      <w:r w:rsidRPr="007749FB">
        <w:rPr>
          <w:rFonts w:ascii="华文中宋" w:eastAsia="华文中宋" w:hAnsi="华文中宋" w:cs="黑体" w:hint="eastAsia"/>
          <w:bCs/>
          <w:spacing w:val="20"/>
          <w:kern w:val="0"/>
          <w:sz w:val="36"/>
          <w:szCs w:val="28"/>
        </w:rPr>
        <w:t>长安大学教育基金会</w:t>
      </w:r>
      <w:r w:rsidRPr="007749FB">
        <w:rPr>
          <w:rFonts w:ascii="华文中宋" w:eastAsia="华文中宋" w:hAnsi="华文中宋" w:cs="黑体"/>
          <w:bCs/>
          <w:spacing w:val="20"/>
          <w:kern w:val="0"/>
          <w:sz w:val="36"/>
          <w:szCs w:val="28"/>
        </w:rPr>
        <w:t>资产管理</w:t>
      </w:r>
      <w:r w:rsidRPr="007749FB">
        <w:rPr>
          <w:rFonts w:ascii="华文中宋" w:eastAsia="华文中宋" w:hAnsi="华文中宋" w:cs="黑体" w:hint="eastAsia"/>
          <w:bCs/>
          <w:spacing w:val="20"/>
          <w:kern w:val="0"/>
          <w:sz w:val="36"/>
          <w:szCs w:val="28"/>
        </w:rPr>
        <w:t>执行办法</w:t>
      </w:r>
    </w:p>
    <w:p w:rsidR="006B366C" w:rsidRDefault="00C27C0D" w:rsidP="007749FB">
      <w:pPr>
        <w:pStyle w:val="a5"/>
        <w:numPr>
          <w:ilvl w:val="0"/>
          <w:numId w:val="1"/>
        </w:numPr>
        <w:spacing w:before="0" w:beforeAutospacing="0" w:after="0" w:afterAutospacing="0"/>
        <w:jc w:val="center"/>
        <w:rPr>
          <w:rFonts w:ascii="仿宋_GB2312" w:eastAsia="仿宋_GB2312"/>
          <w:b/>
          <w:color w:val="000000"/>
          <w:sz w:val="28"/>
        </w:rPr>
      </w:pPr>
      <w:r w:rsidRPr="007749FB">
        <w:rPr>
          <w:rFonts w:ascii="仿宋_GB2312" w:eastAsia="仿宋_GB2312" w:hint="eastAsia"/>
          <w:b/>
          <w:color w:val="000000"/>
          <w:sz w:val="28"/>
        </w:rPr>
        <w:t>总则</w:t>
      </w:r>
    </w:p>
    <w:p w:rsidR="007749FB" w:rsidRPr="007749FB" w:rsidRDefault="007749FB" w:rsidP="007749FB">
      <w:pPr>
        <w:pStyle w:val="a5"/>
        <w:spacing w:before="0" w:beforeAutospacing="0" w:after="0" w:afterAutospacing="0"/>
        <w:rPr>
          <w:rFonts w:ascii="仿宋_GB2312" w:eastAsia="仿宋_GB2312" w:hint="eastAsia"/>
          <w:b/>
          <w:color w:val="000000"/>
          <w:sz w:val="28"/>
        </w:rPr>
      </w:pPr>
    </w:p>
    <w:p w:rsidR="006B366C" w:rsidRPr="007749FB" w:rsidRDefault="00C27C0D" w:rsidP="007749FB">
      <w:pPr>
        <w:pStyle w:val="a5"/>
        <w:spacing w:before="0" w:beforeAutospacing="0" w:after="0" w:afterAutospacing="0"/>
        <w:ind w:firstLineChars="200" w:firstLine="562"/>
        <w:rPr>
          <w:rFonts w:ascii="仿宋_GB2312" w:eastAsia="仿宋_GB2312"/>
          <w:color w:val="000000"/>
          <w:sz w:val="28"/>
        </w:rPr>
      </w:pPr>
      <w:r w:rsidRPr="007749FB">
        <w:rPr>
          <w:rFonts w:ascii="仿宋_GB2312" w:eastAsia="仿宋_GB2312" w:hint="eastAsia"/>
          <w:b/>
          <w:color w:val="000000"/>
          <w:sz w:val="28"/>
        </w:rPr>
        <w:t>第一条</w:t>
      </w:r>
      <w:r w:rsidRPr="007749FB">
        <w:rPr>
          <w:rFonts w:ascii="仿宋_GB2312" w:eastAsia="仿宋_GB2312" w:hint="eastAsia"/>
          <w:color w:val="000000"/>
          <w:sz w:val="28"/>
        </w:rPr>
        <w:t xml:space="preserve"> 为加强长安大学教育基金会（以下简称“基金会”）的资产管理，提高使用效益，</w:t>
      </w:r>
      <w:r w:rsidRPr="007749FB">
        <w:rPr>
          <w:rFonts w:ascii="仿宋_GB2312" w:eastAsia="仿宋_GB2312"/>
          <w:color w:val="000000"/>
          <w:sz w:val="28"/>
        </w:rPr>
        <w:t>依照《中华人民共和国会计法》、《民间非营利组织会计制度》、《基金会管理条例》等国家相关法规，参</w:t>
      </w:r>
      <w:r w:rsidRPr="007749FB">
        <w:rPr>
          <w:rFonts w:ascii="仿宋_GB2312" w:eastAsia="仿宋_GB2312" w:hint="eastAsia"/>
          <w:color w:val="000000"/>
          <w:sz w:val="28"/>
        </w:rPr>
        <w:t>照长安</w:t>
      </w:r>
      <w:r w:rsidRPr="007749FB">
        <w:rPr>
          <w:rFonts w:ascii="仿宋_GB2312" w:eastAsia="仿宋_GB2312"/>
          <w:color w:val="000000"/>
          <w:sz w:val="28"/>
        </w:rPr>
        <w:t>大学相关规定和制度，制定本</w:t>
      </w:r>
      <w:r w:rsidRPr="007749FB">
        <w:rPr>
          <w:rFonts w:ascii="仿宋_GB2312" w:eastAsia="仿宋_GB2312" w:hint="eastAsia"/>
          <w:color w:val="000000"/>
          <w:sz w:val="28"/>
        </w:rPr>
        <w:t>办法</w:t>
      </w:r>
      <w:r w:rsidRPr="007749FB">
        <w:rPr>
          <w:rFonts w:ascii="仿宋_GB2312" w:eastAsia="仿宋_GB2312"/>
          <w:color w:val="000000"/>
          <w:sz w:val="28"/>
        </w:rPr>
        <w:t>。</w:t>
      </w:r>
    </w:p>
    <w:p w:rsidR="006B366C" w:rsidRPr="007749FB" w:rsidRDefault="00C27C0D" w:rsidP="007749FB">
      <w:pPr>
        <w:pStyle w:val="a5"/>
        <w:spacing w:before="0" w:beforeAutospacing="0" w:after="0" w:afterAutospacing="0"/>
        <w:ind w:firstLineChars="200" w:firstLine="562"/>
        <w:rPr>
          <w:rFonts w:ascii="仿宋_GB2312" w:eastAsia="仿宋_GB2312"/>
          <w:color w:val="000000"/>
          <w:sz w:val="28"/>
        </w:rPr>
      </w:pPr>
      <w:r w:rsidRPr="007749FB">
        <w:rPr>
          <w:rFonts w:ascii="仿宋_GB2312" w:eastAsia="仿宋_GB2312"/>
          <w:b/>
          <w:color w:val="000000"/>
          <w:sz w:val="28"/>
        </w:rPr>
        <w:t>第二条</w:t>
      </w:r>
      <w:r w:rsidRPr="007749FB">
        <w:rPr>
          <w:rFonts w:ascii="仿宋_GB2312" w:eastAsia="仿宋_GB2312" w:hint="eastAsia"/>
          <w:color w:val="000000"/>
          <w:sz w:val="28"/>
        </w:rPr>
        <w:t xml:space="preserve"> </w:t>
      </w:r>
      <w:r w:rsidRPr="007749FB">
        <w:rPr>
          <w:rFonts w:ascii="仿宋_GB2312" w:eastAsia="仿宋_GB2312"/>
          <w:color w:val="000000"/>
          <w:sz w:val="28"/>
        </w:rPr>
        <w:t>基金会执行《民间非营利组织会计制度》，依法进行会计核算，建立健全财务管理的内部控制和会计监督制度，保证会计资料合法、真实、准确、完整。</w:t>
      </w:r>
      <w:bookmarkStart w:id="0" w:name="_GoBack"/>
      <w:bookmarkEnd w:id="0"/>
    </w:p>
    <w:p w:rsidR="006B366C" w:rsidRPr="007749FB" w:rsidRDefault="00C27C0D" w:rsidP="007749FB">
      <w:pPr>
        <w:pStyle w:val="a5"/>
        <w:spacing w:before="0" w:beforeAutospacing="0" w:after="0" w:afterAutospacing="0"/>
        <w:ind w:firstLineChars="200" w:firstLine="562"/>
        <w:rPr>
          <w:rFonts w:ascii="仿宋_GB2312" w:eastAsia="仿宋_GB2312"/>
          <w:color w:val="000000"/>
          <w:sz w:val="28"/>
        </w:rPr>
      </w:pPr>
      <w:r w:rsidRPr="007749FB">
        <w:rPr>
          <w:rFonts w:ascii="仿宋_GB2312" w:eastAsia="仿宋_GB2312"/>
          <w:b/>
          <w:color w:val="000000"/>
          <w:sz w:val="28"/>
        </w:rPr>
        <w:t>第三条</w:t>
      </w:r>
      <w:r w:rsidRPr="007749FB">
        <w:rPr>
          <w:rFonts w:ascii="仿宋_GB2312" w:eastAsia="仿宋_GB2312" w:hint="eastAsia"/>
          <w:color w:val="000000"/>
          <w:sz w:val="28"/>
        </w:rPr>
        <w:t xml:space="preserve"> </w:t>
      </w:r>
      <w:r w:rsidRPr="007749FB">
        <w:rPr>
          <w:rFonts w:ascii="仿宋_GB2312" w:eastAsia="仿宋_GB2312"/>
          <w:color w:val="000000"/>
          <w:sz w:val="28"/>
        </w:rPr>
        <w:t>基金会</w:t>
      </w:r>
      <w:r w:rsidRPr="007749FB">
        <w:rPr>
          <w:rFonts w:ascii="仿宋_GB2312" w:eastAsia="仿宋_GB2312" w:hint="eastAsia"/>
          <w:color w:val="000000"/>
          <w:sz w:val="28"/>
        </w:rPr>
        <w:t>资产</w:t>
      </w:r>
      <w:r w:rsidRPr="007749FB">
        <w:rPr>
          <w:rFonts w:ascii="仿宋_GB2312" w:eastAsia="仿宋_GB2312"/>
          <w:color w:val="000000"/>
          <w:sz w:val="28"/>
        </w:rPr>
        <w:t>管理的基本原则是：贯彻执行国家的相关法规，参照</w:t>
      </w:r>
      <w:r w:rsidRPr="007749FB">
        <w:rPr>
          <w:rFonts w:ascii="仿宋_GB2312" w:eastAsia="仿宋_GB2312" w:hint="eastAsia"/>
          <w:color w:val="000000"/>
          <w:sz w:val="28"/>
        </w:rPr>
        <w:t>长安</w:t>
      </w:r>
      <w:r w:rsidRPr="007749FB">
        <w:rPr>
          <w:rFonts w:ascii="仿宋_GB2312" w:eastAsia="仿宋_GB2312"/>
          <w:color w:val="000000"/>
          <w:sz w:val="28"/>
        </w:rPr>
        <w:t>大学的相关规定和制度，符合基金会发展实情。坚持依法管理、诚信公益的方针，发挥良好的经济效益和社会效益，有力支持</w:t>
      </w:r>
      <w:r w:rsidRPr="007749FB">
        <w:rPr>
          <w:rFonts w:ascii="仿宋_GB2312" w:eastAsia="仿宋_GB2312" w:hint="eastAsia"/>
          <w:color w:val="000000"/>
          <w:sz w:val="28"/>
        </w:rPr>
        <w:t>长安</w:t>
      </w:r>
      <w:r w:rsidRPr="007749FB">
        <w:rPr>
          <w:rFonts w:ascii="仿宋_GB2312" w:eastAsia="仿宋_GB2312"/>
          <w:color w:val="000000"/>
          <w:sz w:val="28"/>
        </w:rPr>
        <w:t>大学的发展和建设。</w:t>
      </w:r>
    </w:p>
    <w:p w:rsidR="006B366C" w:rsidRPr="007749FB" w:rsidRDefault="00C27C0D" w:rsidP="007749FB">
      <w:pPr>
        <w:pStyle w:val="a5"/>
        <w:spacing w:before="0" w:beforeAutospacing="0" w:after="0" w:afterAutospacing="0"/>
        <w:ind w:firstLineChars="200" w:firstLine="562"/>
        <w:jc w:val="center"/>
        <w:rPr>
          <w:rFonts w:ascii="仿宋_GB2312" w:eastAsia="仿宋_GB2312"/>
          <w:b/>
          <w:color w:val="000000"/>
          <w:sz w:val="28"/>
        </w:rPr>
      </w:pPr>
      <w:r w:rsidRPr="007749FB">
        <w:rPr>
          <w:rFonts w:ascii="仿宋_GB2312" w:eastAsia="仿宋_GB2312" w:hint="eastAsia"/>
          <w:b/>
          <w:color w:val="000000"/>
          <w:sz w:val="28"/>
        </w:rPr>
        <w:t>第二章 资产分类</w:t>
      </w:r>
    </w:p>
    <w:p w:rsidR="006B366C" w:rsidRPr="007749FB" w:rsidRDefault="00C27C0D" w:rsidP="007749FB">
      <w:pPr>
        <w:pStyle w:val="a5"/>
        <w:spacing w:before="0" w:beforeAutospacing="0" w:after="0" w:afterAutospacing="0"/>
        <w:ind w:firstLineChars="200" w:firstLine="562"/>
        <w:rPr>
          <w:rFonts w:ascii="仿宋_GB2312" w:eastAsia="仿宋_GB2312"/>
          <w:color w:val="000000"/>
          <w:sz w:val="28"/>
        </w:rPr>
      </w:pPr>
      <w:r w:rsidRPr="007749FB">
        <w:rPr>
          <w:rFonts w:ascii="仿宋_GB2312" w:eastAsia="仿宋_GB2312"/>
          <w:b/>
          <w:color w:val="000000"/>
          <w:sz w:val="28"/>
        </w:rPr>
        <w:t>第</w:t>
      </w:r>
      <w:r w:rsidRPr="007749FB">
        <w:rPr>
          <w:rFonts w:ascii="仿宋_GB2312" w:eastAsia="仿宋_GB2312" w:hint="eastAsia"/>
          <w:b/>
          <w:color w:val="000000"/>
          <w:sz w:val="28"/>
        </w:rPr>
        <w:t>四</w:t>
      </w:r>
      <w:r w:rsidRPr="007749FB">
        <w:rPr>
          <w:rFonts w:ascii="仿宋_GB2312" w:eastAsia="仿宋_GB2312"/>
          <w:b/>
          <w:color w:val="000000"/>
          <w:sz w:val="28"/>
        </w:rPr>
        <w:t>条</w:t>
      </w:r>
      <w:r w:rsidRPr="007749FB">
        <w:rPr>
          <w:rFonts w:ascii="仿宋_GB2312" w:eastAsia="仿宋_GB2312" w:hint="eastAsia"/>
          <w:color w:val="000000"/>
          <w:sz w:val="28"/>
        </w:rPr>
        <w:t xml:space="preserve"> </w:t>
      </w:r>
      <w:r w:rsidRPr="007749FB">
        <w:rPr>
          <w:rFonts w:ascii="仿宋_GB2312" w:eastAsia="仿宋_GB2312"/>
          <w:color w:val="000000"/>
          <w:sz w:val="28"/>
        </w:rPr>
        <w:t>基金会的财产及其他收入受法律保护，任何单位、个人不得侵占、私分、挪用。</w:t>
      </w:r>
    </w:p>
    <w:p w:rsidR="006B366C" w:rsidRPr="007749FB" w:rsidRDefault="00C27C0D" w:rsidP="007749FB">
      <w:pPr>
        <w:pStyle w:val="a5"/>
        <w:spacing w:before="0" w:beforeAutospacing="0" w:after="0" w:afterAutospacing="0"/>
        <w:ind w:firstLineChars="200" w:firstLine="562"/>
        <w:rPr>
          <w:rFonts w:ascii="仿宋_GB2312" w:eastAsia="仿宋_GB2312"/>
          <w:color w:val="000000"/>
          <w:sz w:val="28"/>
        </w:rPr>
      </w:pPr>
      <w:r w:rsidRPr="007749FB">
        <w:rPr>
          <w:rFonts w:ascii="仿宋_GB2312" w:eastAsia="仿宋_GB2312"/>
          <w:b/>
          <w:color w:val="000000"/>
          <w:sz w:val="28"/>
        </w:rPr>
        <w:t>第</w:t>
      </w:r>
      <w:r w:rsidRPr="007749FB">
        <w:rPr>
          <w:rFonts w:ascii="仿宋_GB2312" w:eastAsia="仿宋_GB2312" w:hint="eastAsia"/>
          <w:b/>
          <w:color w:val="000000"/>
          <w:sz w:val="28"/>
        </w:rPr>
        <w:t>五</w:t>
      </w:r>
      <w:r w:rsidRPr="007749FB">
        <w:rPr>
          <w:rFonts w:ascii="仿宋_GB2312" w:eastAsia="仿宋_GB2312"/>
          <w:b/>
          <w:color w:val="000000"/>
          <w:sz w:val="28"/>
        </w:rPr>
        <w:t>条</w:t>
      </w:r>
      <w:r w:rsidRPr="007749FB">
        <w:rPr>
          <w:rFonts w:ascii="仿宋_GB2312" w:eastAsia="仿宋_GB2312" w:hint="eastAsia"/>
          <w:color w:val="000000"/>
          <w:sz w:val="28"/>
        </w:rPr>
        <w:t xml:space="preserve"> </w:t>
      </w:r>
      <w:r w:rsidRPr="007749FB">
        <w:rPr>
          <w:rFonts w:ascii="仿宋_GB2312" w:eastAsia="仿宋_GB2312"/>
          <w:color w:val="000000"/>
          <w:sz w:val="28"/>
        </w:rPr>
        <w:t>资产是指基金会占有或者使用的能以货币计量的经济资源，包括各种财产、债权和其他权利。</w:t>
      </w:r>
    </w:p>
    <w:p w:rsidR="006B366C" w:rsidRPr="007749FB" w:rsidRDefault="00C27C0D" w:rsidP="007749FB">
      <w:pPr>
        <w:pStyle w:val="a5"/>
        <w:spacing w:before="0" w:beforeAutospacing="0" w:after="0" w:afterAutospacing="0"/>
        <w:ind w:firstLineChars="200" w:firstLine="562"/>
        <w:jc w:val="center"/>
        <w:rPr>
          <w:rFonts w:ascii="仿宋_GB2312" w:eastAsia="仿宋_GB2312"/>
          <w:color w:val="000000"/>
          <w:sz w:val="28"/>
        </w:rPr>
      </w:pPr>
      <w:r w:rsidRPr="007749FB">
        <w:rPr>
          <w:rFonts w:ascii="仿宋_GB2312" w:eastAsia="仿宋_GB2312"/>
          <w:b/>
          <w:color w:val="000000"/>
          <w:sz w:val="28"/>
        </w:rPr>
        <w:t>第</w:t>
      </w:r>
      <w:r w:rsidRPr="007749FB">
        <w:rPr>
          <w:rFonts w:ascii="仿宋_GB2312" w:eastAsia="仿宋_GB2312" w:hint="eastAsia"/>
          <w:b/>
          <w:color w:val="000000"/>
          <w:sz w:val="28"/>
        </w:rPr>
        <w:t>六</w:t>
      </w:r>
      <w:r w:rsidRPr="007749FB">
        <w:rPr>
          <w:rFonts w:ascii="仿宋_GB2312" w:eastAsia="仿宋_GB2312"/>
          <w:b/>
          <w:color w:val="000000"/>
          <w:sz w:val="28"/>
        </w:rPr>
        <w:t>条</w:t>
      </w:r>
      <w:r w:rsidRPr="007749FB">
        <w:rPr>
          <w:rFonts w:ascii="仿宋_GB2312" w:eastAsia="仿宋_GB2312" w:hint="eastAsia"/>
          <w:color w:val="000000"/>
          <w:sz w:val="28"/>
        </w:rPr>
        <w:t xml:space="preserve"> </w:t>
      </w:r>
      <w:r w:rsidRPr="007749FB">
        <w:rPr>
          <w:rFonts w:ascii="仿宋_GB2312" w:eastAsia="仿宋_GB2312"/>
          <w:color w:val="000000"/>
          <w:sz w:val="28"/>
        </w:rPr>
        <w:t>基金会的资产包括流动资产、固定资产、无形资产和对外投资等。</w:t>
      </w:r>
    </w:p>
    <w:p w:rsidR="006B366C" w:rsidRPr="007749FB" w:rsidRDefault="00C27C0D" w:rsidP="007749FB">
      <w:pPr>
        <w:pStyle w:val="a5"/>
        <w:spacing w:before="0" w:beforeAutospacing="0" w:after="0" w:afterAutospacing="0"/>
        <w:ind w:firstLineChars="200" w:firstLine="562"/>
        <w:jc w:val="center"/>
        <w:rPr>
          <w:rFonts w:ascii="仿宋_GB2312" w:eastAsia="仿宋_GB2312"/>
          <w:b/>
          <w:color w:val="000000"/>
          <w:sz w:val="28"/>
        </w:rPr>
      </w:pPr>
      <w:r w:rsidRPr="007749FB">
        <w:rPr>
          <w:rFonts w:ascii="仿宋_GB2312" w:eastAsia="仿宋_GB2312" w:hint="eastAsia"/>
          <w:b/>
          <w:color w:val="000000"/>
          <w:sz w:val="28"/>
        </w:rPr>
        <w:t>第三章 资产管理</w:t>
      </w:r>
    </w:p>
    <w:p w:rsidR="006B366C" w:rsidRPr="007749FB" w:rsidRDefault="00C27C0D" w:rsidP="007749FB">
      <w:pPr>
        <w:pStyle w:val="a5"/>
        <w:spacing w:before="0" w:beforeAutospacing="0" w:after="0" w:afterAutospacing="0"/>
        <w:ind w:firstLineChars="200" w:firstLine="562"/>
        <w:rPr>
          <w:rFonts w:ascii="仿宋_GB2312" w:eastAsia="仿宋_GB2312"/>
          <w:color w:val="000000"/>
          <w:sz w:val="28"/>
        </w:rPr>
      </w:pPr>
      <w:r w:rsidRPr="007749FB">
        <w:rPr>
          <w:rFonts w:ascii="仿宋_GB2312" w:eastAsia="仿宋_GB2312"/>
          <w:b/>
          <w:color w:val="000000"/>
          <w:sz w:val="28"/>
        </w:rPr>
        <w:lastRenderedPageBreak/>
        <w:t>第</w:t>
      </w:r>
      <w:r w:rsidRPr="007749FB">
        <w:rPr>
          <w:rFonts w:ascii="仿宋_GB2312" w:eastAsia="仿宋_GB2312" w:hint="eastAsia"/>
          <w:b/>
          <w:color w:val="000000"/>
          <w:sz w:val="28"/>
        </w:rPr>
        <w:t>七</w:t>
      </w:r>
      <w:r w:rsidRPr="007749FB">
        <w:rPr>
          <w:rFonts w:ascii="仿宋_GB2312" w:eastAsia="仿宋_GB2312"/>
          <w:b/>
          <w:color w:val="000000"/>
          <w:sz w:val="28"/>
        </w:rPr>
        <w:t>条</w:t>
      </w:r>
      <w:r w:rsidRPr="007749FB">
        <w:rPr>
          <w:rFonts w:ascii="仿宋_GB2312" w:eastAsia="仿宋_GB2312" w:hint="eastAsia"/>
          <w:color w:val="000000"/>
          <w:sz w:val="28"/>
        </w:rPr>
        <w:t xml:space="preserve"> </w:t>
      </w:r>
      <w:r w:rsidRPr="007749FB">
        <w:rPr>
          <w:rFonts w:ascii="仿宋_GB2312" w:eastAsia="仿宋_GB2312"/>
          <w:color w:val="000000"/>
          <w:sz w:val="28"/>
        </w:rPr>
        <w:t>流动资产是指在一定时间内可以变现或者消耗的资产，包括现金、各种存款、应收及暂付款项、借出款、库存物品等。</w:t>
      </w:r>
    </w:p>
    <w:p w:rsidR="006B366C" w:rsidRPr="007749FB" w:rsidRDefault="00D20A1E" w:rsidP="007749FB">
      <w:pPr>
        <w:pStyle w:val="a5"/>
        <w:spacing w:before="0" w:beforeAutospacing="0" w:after="0" w:afterAutospacing="0"/>
        <w:ind w:firstLineChars="200" w:firstLine="562"/>
        <w:rPr>
          <w:rFonts w:ascii="仿宋_GB2312" w:eastAsia="仿宋_GB2312"/>
          <w:color w:val="000000"/>
          <w:sz w:val="28"/>
        </w:rPr>
      </w:pPr>
      <w:r w:rsidRPr="007749FB">
        <w:rPr>
          <w:rFonts w:ascii="仿宋_GB2312" w:eastAsia="仿宋_GB2312" w:hint="eastAsia"/>
          <w:b/>
          <w:color w:val="000000"/>
          <w:sz w:val="28"/>
        </w:rPr>
        <w:t>第八条</w:t>
      </w:r>
      <w:r w:rsidRPr="007749FB">
        <w:rPr>
          <w:rFonts w:ascii="仿宋_GB2312" w:eastAsia="仿宋_GB2312" w:hint="eastAsia"/>
          <w:color w:val="000000"/>
          <w:sz w:val="28"/>
        </w:rPr>
        <w:t xml:space="preserve"> </w:t>
      </w:r>
      <w:r w:rsidR="00C27C0D" w:rsidRPr="007749FB">
        <w:rPr>
          <w:rFonts w:ascii="仿宋_GB2312" w:eastAsia="仿宋_GB2312"/>
          <w:color w:val="000000"/>
          <w:sz w:val="28"/>
        </w:rPr>
        <w:t>库存物品是指基金会在募捐及开展各种公益活动中为耗用而储存的资产，包括赠品、各类材料、消耗物品、低值易耗品等。</w:t>
      </w:r>
    </w:p>
    <w:p w:rsidR="006B366C" w:rsidRPr="007749FB" w:rsidRDefault="00C27C0D" w:rsidP="007749FB">
      <w:pPr>
        <w:pStyle w:val="a5"/>
        <w:spacing w:before="0" w:beforeAutospacing="0" w:after="0" w:afterAutospacing="0"/>
        <w:ind w:firstLineChars="200" w:firstLine="562"/>
        <w:rPr>
          <w:rFonts w:ascii="仿宋_GB2312" w:eastAsia="仿宋_GB2312"/>
          <w:color w:val="000000"/>
          <w:sz w:val="28"/>
        </w:rPr>
      </w:pPr>
      <w:r w:rsidRPr="007749FB">
        <w:rPr>
          <w:rFonts w:ascii="仿宋_GB2312" w:eastAsia="仿宋_GB2312"/>
          <w:b/>
          <w:color w:val="000000"/>
          <w:sz w:val="28"/>
        </w:rPr>
        <w:t>第</w:t>
      </w:r>
      <w:r w:rsidR="00D20A1E" w:rsidRPr="007749FB">
        <w:rPr>
          <w:rFonts w:ascii="仿宋_GB2312" w:eastAsia="仿宋_GB2312" w:hint="eastAsia"/>
          <w:b/>
          <w:color w:val="000000"/>
          <w:sz w:val="28"/>
        </w:rPr>
        <w:t>九</w:t>
      </w:r>
      <w:r w:rsidRPr="007749FB">
        <w:rPr>
          <w:rFonts w:ascii="仿宋_GB2312" w:eastAsia="仿宋_GB2312"/>
          <w:b/>
          <w:color w:val="000000"/>
          <w:sz w:val="28"/>
        </w:rPr>
        <w:t>条</w:t>
      </w:r>
      <w:r w:rsidRPr="007749FB">
        <w:rPr>
          <w:rFonts w:ascii="仿宋_GB2312" w:eastAsia="仿宋_GB2312" w:hint="eastAsia"/>
          <w:color w:val="000000"/>
          <w:sz w:val="28"/>
        </w:rPr>
        <w:t xml:space="preserve"> </w:t>
      </w:r>
      <w:r w:rsidRPr="007749FB">
        <w:rPr>
          <w:rFonts w:ascii="仿宋_GB2312" w:eastAsia="仿宋_GB2312"/>
          <w:color w:val="000000"/>
          <w:sz w:val="28"/>
        </w:rPr>
        <w:t>固定资产是指单价在1000元（含）以上，使用期限在一年以上，并在使用中基本保持原有物质形态的资产。单价虽未达到固定资产标准，但耐用时间超过一年以上的办公设备，列入固定资产管理。不符合上述标准的资产一般列为低值易耗品或消耗品。固定资产应指定专人管理，管理人员应根据基金会的实际情况，列出固定资产清单注明使用和管理责任人，定期核对检查。</w:t>
      </w:r>
    </w:p>
    <w:p w:rsidR="00D20A1E" w:rsidRPr="007749FB" w:rsidRDefault="00D20A1E" w:rsidP="007749FB">
      <w:pPr>
        <w:pStyle w:val="a5"/>
        <w:spacing w:before="0" w:beforeAutospacing="0" w:after="0" w:afterAutospacing="0"/>
        <w:ind w:firstLineChars="200" w:firstLine="562"/>
        <w:rPr>
          <w:rFonts w:ascii="仿宋_GB2312" w:eastAsia="仿宋_GB2312"/>
          <w:color w:val="000000"/>
          <w:sz w:val="28"/>
        </w:rPr>
      </w:pPr>
      <w:r w:rsidRPr="007749FB">
        <w:rPr>
          <w:rFonts w:ascii="仿宋_GB2312" w:eastAsia="仿宋_GB2312" w:hint="eastAsia"/>
          <w:b/>
          <w:color w:val="000000"/>
          <w:sz w:val="28"/>
        </w:rPr>
        <w:t>第十条</w:t>
      </w:r>
      <w:r w:rsidRPr="007749FB">
        <w:rPr>
          <w:rFonts w:ascii="仿宋_GB2312" w:eastAsia="仿宋_GB2312"/>
          <w:color w:val="000000"/>
          <w:sz w:val="28"/>
        </w:rPr>
        <w:t> </w:t>
      </w:r>
      <w:r w:rsidRPr="007749FB">
        <w:rPr>
          <w:rFonts w:ascii="仿宋_GB2312" w:eastAsia="仿宋_GB2312"/>
          <w:color w:val="000000"/>
          <w:sz w:val="28"/>
        </w:rPr>
        <w:t>本基金会接受非货币性捐赠财产，按照以下方法确定入账价值：</w:t>
      </w:r>
    </w:p>
    <w:p w:rsidR="00D20A1E" w:rsidRPr="007749FB" w:rsidRDefault="007749FB" w:rsidP="007749FB">
      <w:pPr>
        <w:pStyle w:val="a5"/>
        <w:spacing w:before="0" w:beforeAutospacing="0" w:after="0" w:afterAutospacing="0"/>
        <w:ind w:firstLineChars="200" w:firstLine="560"/>
        <w:rPr>
          <w:rFonts w:ascii="仿宋_GB2312" w:eastAsia="仿宋_GB2312"/>
          <w:color w:val="000000"/>
          <w:sz w:val="28"/>
        </w:rPr>
      </w:pPr>
      <w:r>
        <w:rPr>
          <w:rFonts w:ascii="仿宋_GB2312" w:eastAsia="仿宋_GB2312" w:hint="eastAsia"/>
          <w:color w:val="000000"/>
          <w:sz w:val="28"/>
        </w:rPr>
        <w:t>1、</w:t>
      </w:r>
      <w:r w:rsidR="00D20A1E" w:rsidRPr="007749FB">
        <w:rPr>
          <w:rFonts w:ascii="仿宋_GB2312" w:eastAsia="仿宋_GB2312" w:hint="eastAsia"/>
          <w:color w:val="000000"/>
          <w:sz w:val="28"/>
        </w:rPr>
        <w:t>捐赠人提供了发票、报关单等凭据的，以相关凭据作为确认入账价值的依据；捐赠方不能提供凭据的，以其他确认捐赠财产的证明，作为确认入账价值的依据；</w:t>
      </w:r>
    </w:p>
    <w:p w:rsidR="00D20A1E" w:rsidRPr="007749FB" w:rsidRDefault="007749FB" w:rsidP="007749FB">
      <w:pPr>
        <w:pStyle w:val="a5"/>
        <w:spacing w:before="0" w:beforeAutospacing="0" w:after="0" w:afterAutospacing="0"/>
        <w:ind w:firstLineChars="200" w:firstLine="560"/>
        <w:rPr>
          <w:rFonts w:ascii="仿宋_GB2312" w:eastAsia="仿宋_GB2312"/>
          <w:color w:val="000000"/>
          <w:sz w:val="28"/>
        </w:rPr>
      </w:pPr>
      <w:r>
        <w:rPr>
          <w:rFonts w:ascii="仿宋_GB2312" w:eastAsia="仿宋_GB2312" w:hint="eastAsia"/>
          <w:color w:val="000000"/>
          <w:sz w:val="28"/>
        </w:rPr>
        <w:t>2、</w:t>
      </w:r>
      <w:r w:rsidR="00D20A1E" w:rsidRPr="007749FB">
        <w:rPr>
          <w:rFonts w:ascii="仿宋_GB2312" w:eastAsia="仿宋_GB2312" w:hint="eastAsia"/>
          <w:color w:val="000000"/>
          <w:sz w:val="28"/>
        </w:rPr>
        <w:t>捐赠人提供的凭据或其他能够确认受赠资产价值的证明上标明的金额与受赠资产公允价值相差较大的，以其公允价值作为入账价值。</w:t>
      </w:r>
    </w:p>
    <w:p w:rsidR="00D20A1E" w:rsidRPr="007749FB" w:rsidRDefault="00D20A1E" w:rsidP="007749FB">
      <w:pPr>
        <w:pStyle w:val="a5"/>
        <w:spacing w:before="0" w:beforeAutospacing="0" w:after="0" w:afterAutospacing="0"/>
        <w:ind w:firstLineChars="200" w:firstLine="562"/>
        <w:rPr>
          <w:rFonts w:ascii="仿宋_GB2312" w:eastAsia="仿宋_GB2312"/>
          <w:color w:val="000000"/>
          <w:sz w:val="28"/>
        </w:rPr>
      </w:pPr>
      <w:r w:rsidRPr="007749FB">
        <w:rPr>
          <w:rFonts w:ascii="仿宋_GB2312" w:eastAsia="仿宋_GB2312" w:hint="eastAsia"/>
          <w:b/>
          <w:color w:val="000000"/>
          <w:sz w:val="28"/>
        </w:rPr>
        <w:t>第十一条</w:t>
      </w:r>
      <w:r w:rsidRPr="007749FB">
        <w:rPr>
          <w:rFonts w:ascii="仿宋_GB2312" w:eastAsia="仿宋_GB2312"/>
          <w:color w:val="000000"/>
          <w:sz w:val="28"/>
        </w:rPr>
        <w:t> </w:t>
      </w:r>
      <w:r w:rsidRPr="007749FB">
        <w:rPr>
          <w:rFonts w:ascii="仿宋_GB2312" w:eastAsia="仿宋_GB2312"/>
          <w:color w:val="000000"/>
          <w:sz w:val="28"/>
        </w:rPr>
        <w:t>本办法中所称的公允价值是指在公平交易中，熟悉情况的交易双方，自愿进行物资交换或者债务清偿的金额。公允价值的确定顺序如下：</w:t>
      </w:r>
    </w:p>
    <w:p w:rsidR="00D20A1E" w:rsidRPr="007749FB" w:rsidRDefault="007749FB" w:rsidP="007749FB">
      <w:pPr>
        <w:pStyle w:val="a5"/>
        <w:spacing w:before="0" w:beforeAutospacing="0" w:after="0" w:afterAutospacing="0"/>
        <w:ind w:firstLineChars="200" w:firstLine="560"/>
        <w:rPr>
          <w:rFonts w:ascii="仿宋_GB2312" w:eastAsia="仿宋_GB2312"/>
          <w:color w:val="000000"/>
          <w:sz w:val="28"/>
        </w:rPr>
      </w:pPr>
      <w:r>
        <w:rPr>
          <w:rFonts w:ascii="仿宋_GB2312" w:eastAsia="仿宋_GB2312" w:hint="eastAsia"/>
          <w:color w:val="000000"/>
          <w:sz w:val="28"/>
        </w:rPr>
        <w:lastRenderedPageBreak/>
        <w:t>1、</w:t>
      </w:r>
      <w:r w:rsidR="00D20A1E" w:rsidRPr="007749FB">
        <w:rPr>
          <w:rFonts w:ascii="仿宋_GB2312" w:eastAsia="仿宋_GB2312" w:hint="eastAsia"/>
          <w:color w:val="000000"/>
          <w:sz w:val="28"/>
        </w:rPr>
        <w:t>如果同类或类似物资存在活跃市场的，应当按照同类或类似物资的市场价格确定公允价值；</w:t>
      </w:r>
    </w:p>
    <w:p w:rsidR="00D20A1E" w:rsidRPr="007749FB" w:rsidRDefault="007749FB" w:rsidP="007749FB">
      <w:pPr>
        <w:pStyle w:val="a5"/>
        <w:spacing w:before="0" w:beforeAutospacing="0" w:after="0" w:afterAutospacing="0"/>
        <w:ind w:firstLineChars="200" w:firstLine="560"/>
        <w:rPr>
          <w:rFonts w:ascii="仿宋_GB2312" w:eastAsia="仿宋_GB2312"/>
          <w:color w:val="000000"/>
          <w:sz w:val="28"/>
        </w:rPr>
      </w:pPr>
      <w:r>
        <w:rPr>
          <w:rFonts w:ascii="仿宋_GB2312" w:eastAsia="仿宋_GB2312" w:hint="eastAsia"/>
          <w:color w:val="000000"/>
          <w:sz w:val="28"/>
        </w:rPr>
        <w:t>2、</w:t>
      </w:r>
      <w:r w:rsidR="00D20A1E" w:rsidRPr="007749FB">
        <w:rPr>
          <w:rFonts w:ascii="仿宋_GB2312" w:eastAsia="仿宋_GB2312" w:hint="eastAsia"/>
          <w:color w:val="000000"/>
          <w:sz w:val="28"/>
        </w:rPr>
        <w:t>如果同类或类似物资不存在活跃市场，或者无法找到同类或类似物资的，应当采用合理的计价方法确定物资的公允价值。</w:t>
      </w:r>
    </w:p>
    <w:p w:rsidR="006B366C" w:rsidRPr="007749FB" w:rsidRDefault="00C27C0D" w:rsidP="007749FB">
      <w:pPr>
        <w:pStyle w:val="a5"/>
        <w:spacing w:before="0" w:beforeAutospacing="0" w:after="0" w:afterAutospacing="0"/>
        <w:ind w:firstLineChars="200" w:firstLine="562"/>
        <w:rPr>
          <w:rFonts w:ascii="仿宋_GB2312" w:eastAsia="仿宋_GB2312"/>
          <w:color w:val="000000"/>
          <w:sz w:val="28"/>
        </w:rPr>
      </w:pPr>
      <w:r w:rsidRPr="007749FB">
        <w:rPr>
          <w:rFonts w:ascii="仿宋_GB2312" w:eastAsia="仿宋_GB2312"/>
          <w:b/>
          <w:color w:val="000000"/>
          <w:sz w:val="28"/>
        </w:rPr>
        <w:t>第</w:t>
      </w:r>
      <w:r w:rsidR="00D20A1E" w:rsidRPr="007749FB">
        <w:rPr>
          <w:rFonts w:ascii="仿宋_GB2312" w:eastAsia="仿宋_GB2312" w:hint="eastAsia"/>
          <w:b/>
          <w:color w:val="000000"/>
          <w:sz w:val="28"/>
        </w:rPr>
        <w:t>十二</w:t>
      </w:r>
      <w:r w:rsidRPr="007749FB">
        <w:rPr>
          <w:rFonts w:ascii="仿宋_GB2312" w:eastAsia="仿宋_GB2312"/>
          <w:b/>
          <w:color w:val="000000"/>
          <w:sz w:val="28"/>
        </w:rPr>
        <w:t>条</w:t>
      </w:r>
      <w:r w:rsidRPr="007749FB">
        <w:rPr>
          <w:rFonts w:ascii="仿宋_GB2312" w:eastAsia="仿宋_GB2312" w:hint="eastAsia"/>
          <w:color w:val="000000"/>
          <w:sz w:val="28"/>
        </w:rPr>
        <w:t xml:space="preserve"> </w:t>
      </w:r>
      <w:r w:rsidRPr="007749FB">
        <w:rPr>
          <w:rFonts w:ascii="仿宋_GB2312" w:eastAsia="仿宋_GB2312"/>
          <w:color w:val="000000"/>
          <w:sz w:val="28"/>
        </w:rPr>
        <w:t>固定资产的报废和转让，参照</w:t>
      </w:r>
      <w:r w:rsidRPr="007749FB">
        <w:rPr>
          <w:rFonts w:ascii="仿宋_GB2312" w:eastAsia="仿宋_GB2312" w:hint="eastAsia"/>
          <w:color w:val="000000"/>
          <w:sz w:val="28"/>
        </w:rPr>
        <w:t>长安</w:t>
      </w:r>
      <w:r w:rsidRPr="007749FB">
        <w:rPr>
          <w:rFonts w:ascii="仿宋_GB2312" w:eastAsia="仿宋_GB2312"/>
          <w:color w:val="000000"/>
          <w:sz w:val="28"/>
        </w:rPr>
        <w:t>大学相关标准执行。转让或报废单由保管人员、会计人员共同签字，秘书长鉴定签字批准。转让收取的收入应及时入账，不得随意开支。学校资产按照</w:t>
      </w:r>
      <w:r w:rsidRPr="007749FB">
        <w:rPr>
          <w:rFonts w:ascii="仿宋_GB2312" w:eastAsia="仿宋_GB2312" w:hint="eastAsia"/>
          <w:color w:val="000000"/>
          <w:sz w:val="28"/>
        </w:rPr>
        <w:t>长安大学</w:t>
      </w:r>
      <w:r w:rsidRPr="007749FB">
        <w:rPr>
          <w:rFonts w:ascii="仿宋_GB2312" w:eastAsia="仿宋_GB2312"/>
          <w:color w:val="000000"/>
          <w:sz w:val="28"/>
        </w:rPr>
        <w:t>相关规定办理。</w:t>
      </w:r>
    </w:p>
    <w:p w:rsidR="006B366C" w:rsidRPr="007749FB" w:rsidRDefault="00C27C0D" w:rsidP="007749FB">
      <w:pPr>
        <w:pStyle w:val="a5"/>
        <w:spacing w:before="0" w:beforeAutospacing="0" w:after="0" w:afterAutospacing="0"/>
        <w:ind w:firstLineChars="200" w:firstLine="562"/>
        <w:rPr>
          <w:rFonts w:ascii="仿宋_GB2312" w:eastAsia="仿宋_GB2312"/>
          <w:color w:val="000000"/>
          <w:sz w:val="28"/>
        </w:rPr>
      </w:pPr>
      <w:r w:rsidRPr="007749FB">
        <w:rPr>
          <w:rFonts w:ascii="仿宋_GB2312" w:eastAsia="仿宋_GB2312"/>
          <w:b/>
          <w:color w:val="000000"/>
          <w:sz w:val="28"/>
        </w:rPr>
        <w:t>第</w:t>
      </w:r>
      <w:r w:rsidRPr="007749FB">
        <w:rPr>
          <w:rFonts w:ascii="仿宋_GB2312" w:eastAsia="仿宋_GB2312" w:hint="eastAsia"/>
          <w:b/>
          <w:color w:val="000000"/>
          <w:sz w:val="28"/>
        </w:rPr>
        <w:t>十</w:t>
      </w:r>
      <w:r w:rsidR="00D20A1E" w:rsidRPr="007749FB">
        <w:rPr>
          <w:rFonts w:ascii="仿宋_GB2312" w:eastAsia="仿宋_GB2312" w:hint="eastAsia"/>
          <w:b/>
          <w:color w:val="000000"/>
          <w:sz w:val="28"/>
        </w:rPr>
        <w:t>三</w:t>
      </w:r>
      <w:r w:rsidRPr="007749FB">
        <w:rPr>
          <w:rFonts w:ascii="仿宋_GB2312" w:eastAsia="仿宋_GB2312"/>
          <w:b/>
          <w:color w:val="000000"/>
          <w:sz w:val="28"/>
        </w:rPr>
        <w:t>条</w:t>
      </w:r>
      <w:r w:rsidRPr="007749FB">
        <w:rPr>
          <w:rFonts w:ascii="仿宋_GB2312" w:eastAsia="仿宋_GB2312" w:hint="eastAsia"/>
          <w:color w:val="000000"/>
          <w:sz w:val="28"/>
        </w:rPr>
        <w:t xml:space="preserve"> </w:t>
      </w:r>
      <w:r w:rsidRPr="007749FB">
        <w:rPr>
          <w:rFonts w:ascii="仿宋_GB2312" w:eastAsia="仿宋_GB2312"/>
          <w:color w:val="000000"/>
          <w:sz w:val="28"/>
        </w:rPr>
        <w:t>基金会资产管理必须严格执行相关法规和制度，对应收和暂付款</w:t>
      </w:r>
      <w:proofErr w:type="gramStart"/>
      <w:r w:rsidRPr="007749FB">
        <w:rPr>
          <w:rFonts w:ascii="仿宋_GB2312" w:eastAsia="仿宋_GB2312"/>
          <w:color w:val="000000"/>
          <w:sz w:val="28"/>
        </w:rPr>
        <w:t>项及时</w:t>
      </w:r>
      <w:proofErr w:type="gramEnd"/>
      <w:r w:rsidRPr="007749FB">
        <w:rPr>
          <w:rFonts w:ascii="仿宋_GB2312" w:eastAsia="仿宋_GB2312"/>
          <w:color w:val="000000"/>
          <w:sz w:val="28"/>
        </w:rPr>
        <w:t>清理结算，不得长期挂账；建立定期核对、定期盘点制度，会计与出纳、出纳与银行按月定期核对账务和票据；会计与资产管理人按年度盘点固定资产、存货等实物资产，做到账</w:t>
      </w:r>
      <w:proofErr w:type="gramStart"/>
      <w:r w:rsidRPr="007749FB">
        <w:rPr>
          <w:rFonts w:ascii="仿宋_GB2312" w:eastAsia="仿宋_GB2312"/>
          <w:color w:val="000000"/>
          <w:sz w:val="28"/>
        </w:rPr>
        <w:t>账</w:t>
      </w:r>
      <w:proofErr w:type="gramEnd"/>
      <w:r w:rsidRPr="007749FB">
        <w:rPr>
          <w:rFonts w:ascii="仿宋_GB2312" w:eastAsia="仿宋_GB2312"/>
          <w:color w:val="000000"/>
          <w:sz w:val="28"/>
        </w:rPr>
        <w:t>相符、账表相符、账实相符；对外投资，财务管理人员应及时跟踪反馈信息，了解相关情况，投资到期及时收回资金。</w:t>
      </w:r>
    </w:p>
    <w:p w:rsidR="006B366C" w:rsidRPr="007749FB" w:rsidRDefault="00C27C0D" w:rsidP="007749FB">
      <w:pPr>
        <w:pStyle w:val="a5"/>
        <w:spacing w:before="0" w:beforeAutospacing="0" w:after="0" w:afterAutospacing="0"/>
        <w:ind w:firstLineChars="200" w:firstLine="562"/>
        <w:rPr>
          <w:rFonts w:ascii="仿宋_GB2312" w:eastAsia="仿宋_GB2312"/>
          <w:color w:val="000000"/>
          <w:sz w:val="28"/>
        </w:rPr>
      </w:pPr>
      <w:r w:rsidRPr="007749FB">
        <w:rPr>
          <w:rFonts w:ascii="仿宋_GB2312" w:eastAsia="仿宋_GB2312"/>
          <w:b/>
          <w:color w:val="000000"/>
          <w:sz w:val="28"/>
        </w:rPr>
        <w:t>第</w:t>
      </w:r>
      <w:r w:rsidRPr="007749FB">
        <w:rPr>
          <w:rFonts w:ascii="仿宋_GB2312" w:eastAsia="仿宋_GB2312" w:hint="eastAsia"/>
          <w:b/>
          <w:color w:val="000000"/>
          <w:sz w:val="28"/>
        </w:rPr>
        <w:t>十</w:t>
      </w:r>
      <w:r w:rsidR="00D20A1E" w:rsidRPr="007749FB">
        <w:rPr>
          <w:rFonts w:ascii="仿宋_GB2312" w:eastAsia="仿宋_GB2312" w:hint="eastAsia"/>
          <w:b/>
          <w:color w:val="000000"/>
          <w:sz w:val="28"/>
        </w:rPr>
        <w:t>四</w:t>
      </w:r>
      <w:r w:rsidRPr="007749FB">
        <w:rPr>
          <w:rFonts w:ascii="仿宋_GB2312" w:eastAsia="仿宋_GB2312"/>
          <w:b/>
          <w:color w:val="000000"/>
          <w:sz w:val="28"/>
        </w:rPr>
        <w:t>条</w:t>
      </w:r>
      <w:r w:rsidRPr="007749FB">
        <w:rPr>
          <w:rFonts w:ascii="仿宋_GB2312" w:eastAsia="仿宋_GB2312" w:hint="eastAsia"/>
          <w:color w:val="000000"/>
          <w:sz w:val="28"/>
        </w:rPr>
        <w:t xml:space="preserve"> </w:t>
      </w:r>
      <w:r w:rsidRPr="007749FB">
        <w:rPr>
          <w:rFonts w:ascii="仿宋_GB2312" w:eastAsia="仿宋_GB2312"/>
          <w:color w:val="000000"/>
          <w:sz w:val="28"/>
        </w:rPr>
        <w:t>基金会的无形资产是指不具有实物形态而能为使用者提供某种权利的资产。基金会的无形资产包括：专利权、商标权、著作权、非专利技术、商誉及其他财产权利。</w:t>
      </w:r>
    </w:p>
    <w:p w:rsidR="006B366C" w:rsidRPr="007749FB" w:rsidRDefault="00C27C0D" w:rsidP="007749FB">
      <w:pPr>
        <w:pStyle w:val="a5"/>
        <w:spacing w:before="0" w:beforeAutospacing="0" w:after="0" w:afterAutospacing="0"/>
        <w:ind w:firstLineChars="200" w:firstLine="562"/>
        <w:rPr>
          <w:rFonts w:ascii="仿宋_GB2312" w:eastAsia="仿宋_GB2312"/>
          <w:color w:val="000000"/>
          <w:sz w:val="28"/>
        </w:rPr>
      </w:pPr>
      <w:r w:rsidRPr="007749FB">
        <w:rPr>
          <w:rFonts w:ascii="仿宋_GB2312" w:eastAsia="仿宋_GB2312"/>
          <w:b/>
          <w:color w:val="000000"/>
          <w:sz w:val="28"/>
        </w:rPr>
        <w:t>第</w:t>
      </w:r>
      <w:r w:rsidRPr="007749FB">
        <w:rPr>
          <w:rFonts w:ascii="仿宋_GB2312" w:eastAsia="仿宋_GB2312" w:hint="eastAsia"/>
          <w:b/>
          <w:color w:val="000000"/>
          <w:sz w:val="28"/>
        </w:rPr>
        <w:t>十</w:t>
      </w:r>
      <w:r w:rsidR="00D20A1E" w:rsidRPr="007749FB">
        <w:rPr>
          <w:rFonts w:ascii="仿宋_GB2312" w:eastAsia="仿宋_GB2312" w:hint="eastAsia"/>
          <w:b/>
          <w:color w:val="000000"/>
          <w:sz w:val="28"/>
        </w:rPr>
        <w:t>五</w:t>
      </w:r>
      <w:r w:rsidRPr="007749FB">
        <w:rPr>
          <w:rFonts w:ascii="仿宋_GB2312" w:eastAsia="仿宋_GB2312"/>
          <w:b/>
          <w:color w:val="000000"/>
          <w:sz w:val="28"/>
        </w:rPr>
        <w:t>条</w:t>
      </w:r>
      <w:r w:rsidRPr="007749FB">
        <w:rPr>
          <w:rFonts w:ascii="仿宋_GB2312" w:eastAsia="仿宋_GB2312" w:hint="eastAsia"/>
          <w:color w:val="000000"/>
          <w:sz w:val="28"/>
        </w:rPr>
        <w:t xml:space="preserve"> </w:t>
      </w:r>
      <w:r w:rsidRPr="007749FB">
        <w:rPr>
          <w:rFonts w:ascii="仿宋_GB2312" w:eastAsia="仿宋_GB2312"/>
          <w:color w:val="000000"/>
          <w:sz w:val="28"/>
        </w:rPr>
        <w:t>基金会无形资产的转让使用，应按规定咨询专家进行评估，取得的收入计入基金会发展基金，无形资产的相关支出，计入基金会管理费用支出。</w:t>
      </w:r>
    </w:p>
    <w:p w:rsidR="006B366C" w:rsidRPr="007749FB" w:rsidRDefault="00C27C0D" w:rsidP="007749FB">
      <w:pPr>
        <w:pStyle w:val="a5"/>
        <w:spacing w:before="0" w:beforeAutospacing="0" w:after="0" w:afterAutospacing="0"/>
        <w:ind w:firstLineChars="200" w:firstLine="562"/>
        <w:jc w:val="center"/>
        <w:rPr>
          <w:rFonts w:ascii="仿宋_GB2312" w:eastAsia="仿宋_GB2312"/>
          <w:b/>
          <w:color w:val="000000"/>
          <w:sz w:val="28"/>
        </w:rPr>
      </w:pPr>
      <w:r w:rsidRPr="007749FB">
        <w:rPr>
          <w:rFonts w:ascii="仿宋_GB2312" w:eastAsia="仿宋_GB2312" w:hint="eastAsia"/>
          <w:b/>
          <w:color w:val="000000"/>
          <w:sz w:val="28"/>
        </w:rPr>
        <w:t>第四章 附则</w:t>
      </w:r>
    </w:p>
    <w:p w:rsidR="006B366C" w:rsidRPr="007749FB" w:rsidRDefault="00C27C0D" w:rsidP="007749FB">
      <w:pPr>
        <w:pStyle w:val="a5"/>
        <w:spacing w:before="0" w:beforeAutospacing="0" w:after="0" w:afterAutospacing="0"/>
        <w:ind w:firstLineChars="200" w:firstLine="560"/>
        <w:rPr>
          <w:rFonts w:ascii="仿宋_GB2312" w:eastAsia="仿宋_GB2312"/>
          <w:color w:val="000000"/>
          <w:sz w:val="28"/>
        </w:rPr>
      </w:pPr>
      <w:r w:rsidRPr="007749FB">
        <w:rPr>
          <w:rFonts w:ascii="仿宋_GB2312" w:eastAsia="仿宋_GB2312" w:hint="eastAsia"/>
          <w:color w:val="000000"/>
          <w:sz w:val="28"/>
        </w:rPr>
        <w:t>第十</w:t>
      </w:r>
      <w:r w:rsidR="00D20A1E" w:rsidRPr="007749FB">
        <w:rPr>
          <w:rFonts w:ascii="仿宋_GB2312" w:eastAsia="仿宋_GB2312" w:hint="eastAsia"/>
          <w:color w:val="000000"/>
          <w:sz w:val="28"/>
        </w:rPr>
        <w:t>六</w:t>
      </w:r>
      <w:r w:rsidRPr="007749FB">
        <w:rPr>
          <w:rFonts w:ascii="仿宋_GB2312" w:eastAsia="仿宋_GB2312" w:hint="eastAsia"/>
          <w:color w:val="000000"/>
          <w:sz w:val="28"/>
        </w:rPr>
        <w:t>条 本办法由长安大学教育基金会负责解释。</w:t>
      </w:r>
    </w:p>
    <w:p w:rsidR="006B366C" w:rsidRPr="007749FB" w:rsidRDefault="00C27C0D" w:rsidP="007749FB">
      <w:pPr>
        <w:pStyle w:val="a5"/>
        <w:spacing w:before="0" w:beforeAutospacing="0" w:after="0" w:afterAutospacing="0"/>
        <w:ind w:firstLineChars="200" w:firstLine="560"/>
        <w:rPr>
          <w:rFonts w:ascii="仿宋_GB2312" w:eastAsia="仿宋_GB2312"/>
          <w:color w:val="000000"/>
          <w:sz w:val="28"/>
        </w:rPr>
      </w:pPr>
      <w:r w:rsidRPr="007749FB">
        <w:rPr>
          <w:rFonts w:ascii="仿宋_GB2312" w:eastAsia="仿宋_GB2312" w:hint="eastAsia"/>
          <w:color w:val="000000"/>
          <w:sz w:val="28"/>
        </w:rPr>
        <w:lastRenderedPageBreak/>
        <w:t>第十</w:t>
      </w:r>
      <w:r w:rsidR="00D20A1E" w:rsidRPr="007749FB">
        <w:rPr>
          <w:rFonts w:ascii="仿宋_GB2312" w:eastAsia="仿宋_GB2312" w:hint="eastAsia"/>
          <w:color w:val="000000"/>
          <w:sz w:val="28"/>
        </w:rPr>
        <w:t>七</w:t>
      </w:r>
      <w:r w:rsidRPr="007749FB">
        <w:rPr>
          <w:rFonts w:ascii="仿宋_GB2312" w:eastAsia="仿宋_GB2312" w:hint="eastAsia"/>
          <w:color w:val="000000"/>
          <w:sz w:val="28"/>
        </w:rPr>
        <w:t>条 本办法自通过之日起执行</w:t>
      </w:r>
    </w:p>
    <w:p w:rsidR="006B366C" w:rsidRPr="007749FB" w:rsidRDefault="006B366C" w:rsidP="007749FB">
      <w:pPr>
        <w:pStyle w:val="a5"/>
        <w:spacing w:before="0" w:beforeAutospacing="0" w:after="0" w:afterAutospacing="0"/>
        <w:ind w:firstLineChars="200" w:firstLine="560"/>
        <w:rPr>
          <w:rFonts w:ascii="仿宋_GB2312" w:eastAsia="仿宋_GB2312"/>
          <w:color w:val="000000"/>
          <w:sz w:val="28"/>
        </w:rPr>
      </w:pPr>
    </w:p>
    <w:p w:rsidR="006B366C" w:rsidRPr="007749FB" w:rsidRDefault="00C27C0D" w:rsidP="007749FB">
      <w:pPr>
        <w:pStyle w:val="a5"/>
        <w:spacing w:before="0" w:beforeAutospacing="0" w:after="0" w:afterAutospacing="0"/>
        <w:ind w:firstLineChars="1600" w:firstLine="4498"/>
        <w:rPr>
          <w:rFonts w:ascii="仿宋_GB2312" w:eastAsia="仿宋_GB2312"/>
          <w:b/>
          <w:color w:val="000000"/>
          <w:sz w:val="28"/>
        </w:rPr>
      </w:pPr>
      <w:r w:rsidRPr="007749FB">
        <w:rPr>
          <w:rFonts w:ascii="仿宋_GB2312" w:eastAsia="仿宋_GB2312" w:hint="eastAsia"/>
          <w:b/>
          <w:color w:val="000000"/>
          <w:sz w:val="28"/>
        </w:rPr>
        <w:t>长安大学教育基金会</w:t>
      </w:r>
    </w:p>
    <w:p w:rsidR="006B366C" w:rsidRPr="007749FB" w:rsidRDefault="006B366C" w:rsidP="007749FB">
      <w:pPr>
        <w:pStyle w:val="a5"/>
        <w:spacing w:before="0" w:beforeAutospacing="0" w:after="0" w:afterAutospacing="0"/>
        <w:ind w:firstLineChars="200" w:firstLine="560"/>
        <w:rPr>
          <w:rFonts w:ascii="仿宋_GB2312" w:eastAsia="仿宋_GB2312"/>
          <w:color w:val="000000"/>
          <w:sz w:val="28"/>
        </w:rPr>
      </w:pPr>
    </w:p>
    <w:sectPr w:rsidR="006B366C" w:rsidRPr="007749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9FB" w:rsidRDefault="00A409FB" w:rsidP="00A4081E">
      <w:r>
        <w:separator/>
      </w:r>
    </w:p>
  </w:endnote>
  <w:endnote w:type="continuationSeparator" w:id="0">
    <w:p w:rsidR="00A409FB" w:rsidRDefault="00A409FB" w:rsidP="00A4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9FB" w:rsidRDefault="00A409FB" w:rsidP="00A4081E">
      <w:r>
        <w:separator/>
      </w:r>
    </w:p>
  </w:footnote>
  <w:footnote w:type="continuationSeparator" w:id="0">
    <w:p w:rsidR="00A409FB" w:rsidRDefault="00A409FB" w:rsidP="00A40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0295A"/>
    <w:multiLevelType w:val="hybridMultilevel"/>
    <w:tmpl w:val="2AB0F48A"/>
    <w:lvl w:ilvl="0" w:tplc="45EE27D2">
      <w:start w:val="1"/>
      <w:numFmt w:val="japaneseCounting"/>
      <w:lvlText w:val="第%1章"/>
      <w:lvlJc w:val="left"/>
      <w:pPr>
        <w:ind w:left="1542" w:hanging="98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6C"/>
    <w:rsid w:val="005A0409"/>
    <w:rsid w:val="006B366C"/>
    <w:rsid w:val="007749FB"/>
    <w:rsid w:val="00A4081E"/>
    <w:rsid w:val="00A409FB"/>
    <w:rsid w:val="00C27C0D"/>
    <w:rsid w:val="00D20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70927"/>
  <w15:docId w15:val="{C051F8E9-D50E-4627-A0F4-957089ED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before="240" w:after="60" w:line="312" w:lineRule="auto"/>
      <w:jc w:val="center"/>
      <w:outlineLvl w:val="1"/>
    </w:pPr>
    <w:rPr>
      <w:b/>
      <w:bCs/>
      <w:kern w:val="28"/>
      <w:sz w:val="32"/>
      <w:szCs w:val="32"/>
    </w:rPr>
  </w:style>
  <w:style w:type="character" w:customStyle="1" w:styleId="a4">
    <w:name w:val="副标题 字符"/>
    <w:basedOn w:val="a0"/>
    <w:link w:val="a3"/>
    <w:uiPriority w:val="11"/>
    <w:rPr>
      <w:b/>
      <w:bCs/>
      <w:kern w:val="28"/>
      <w:sz w:val="32"/>
      <w:szCs w:val="32"/>
    </w:rPr>
  </w:style>
  <w:style w:type="paragraph" w:styleId="a5">
    <w:name w:val="Normal (Web)"/>
    <w:basedOn w:val="a"/>
    <w:uiPriority w:val="99"/>
    <w:pPr>
      <w:widowControl/>
      <w:spacing w:before="100" w:beforeAutospacing="1" w:after="100" w:afterAutospacing="1"/>
      <w:jc w:val="left"/>
    </w:pPr>
    <w:rPr>
      <w:rFonts w:ascii="宋体" w:eastAsia="宋体" w:hAnsi="宋体"/>
      <w:kern w:val="0"/>
      <w:sz w:val="24"/>
      <w:szCs w:val="24"/>
    </w:rPr>
  </w:style>
  <w:style w:type="paragraph" w:styleId="a6">
    <w:name w:val="header"/>
    <w:basedOn w:val="a"/>
    <w:link w:val="a7"/>
    <w:uiPriority w:val="99"/>
    <w:unhideWhenUsed/>
    <w:rsid w:val="00A4081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4081E"/>
    <w:rPr>
      <w:sz w:val="18"/>
      <w:szCs w:val="18"/>
    </w:rPr>
  </w:style>
  <w:style w:type="paragraph" w:styleId="a8">
    <w:name w:val="footer"/>
    <w:basedOn w:val="a"/>
    <w:link w:val="a9"/>
    <w:uiPriority w:val="99"/>
    <w:unhideWhenUsed/>
    <w:rsid w:val="00A4081E"/>
    <w:pPr>
      <w:tabs>
        <w:tab w:val="center" w:pos="4153"/>
        <w:tab w:val="right" w:pos="8306"/>
      </w:tabs>
      <w:snapToGrid w:val="0"/>
      <w:jc w:val="left"/>
    </w:pPr>
    <w:rPr>
      <w:sz w:val="18"/>
      <w:szCs w:val="18"/>
    </w:rPr>
  </w:style>
  <w:style w:type="character" w:customStyle="1" w:styleId="a9">
    <w:name w:val="页脚 字符"/>
    <w:basedOn w:val="a0"/>
    <w:link w:val="a8"/>
    <w:uiPriority w:val="99"/>
    <w:rsid w:val="00A408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 晗微</dc:creator>
  <cp:lastModifiedBy>武 晗微</cp:lastModifiedBy>
  <cp:revision>4</cp:revision>
  <dcterms:created xsi:type="dcterms:W3CDTF">2020-12-04T13:04:00Z</dcterms:created>
  <dcterms:modified xsi:type="dcterms:W3CDTF">2020-12-07T01:56:00Z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-667496508</vt:i4>
  </property>
</Properties>
</file>