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52C" w:rsidRDefault="0067652C" w:rsidP="0067652C">
      <w:pPr>
        <w:widowControl/>
        <w:wordWrap w:val="0"/>
        <w:spacing w:line="432" w:lineRule="auto"/>
        <w:jc w:val="center"/>
        <w:rPr>
          <w:rFonts w:ascii="华文中宋" w:eastAsia="华文中宋" w:hAnsi="华文中宋" w:cs="黑体"/>
          <w:bCs/>
          <w:spacing w:val="20"/>
          <w:sz w:val="36"/>
          <w:szCs w:val="28"/>
        </w:rPr>
      </w:pPr>
      <w:r w:rsidRPr="001470A6">
        <w:rPr>
          <w:rFonts w:ascii="华文中宋" w:eastAsia="华文中宋" w:hAnsi="华文中宋" w:cs="黑体" w:hint="eastAsia"/>
          <w:bCs/>
          <w:spacing w:val="20"/>
          <w:sz w:val="36"/>
          <w:szCs w:val="28"/>
        </w:rPr>
        <w:t>长安大学教育基金会重大事项报告办法</w:t>
      </w:r>
    </w:p>
    <w:p w:rsidR="006B0F23" w:rsidRPr="006B0F23" w:rsidRDefault="006B0F23" w:rsidP="0067652C">
      <w:pPr>
        <w:widowControl/>
        <w:wordWrap w:val="0"/>
        <w:spacing w:line="432" w:lineRule="auto"/>
        <w:jc w:val="center"/>
        <w:rPr>
          <w:rFonts w:ascii="华文中宋" w:eastAsia="华文中宋" w:hAnsi="华文中宋" w:cs="黑体"/>
          <w:bCs/>
          <w:spacing w:val="20"/>
          <w:sz w:val="36"/>
          <w:szCs w:val="28"/>
        </w:rPr>
      </w:pPr>
    </w:p>
    <w:p w:rsidR="0067652C" w:rsidRPr="000E3891" w:rsidRDefault="0067652C" w:rsidP="006B0F23">
      <w:pPr>
        <w:pStyle w:val="a3"/>
        <w:spacing w:before="0" w:beforeAutospacing="0" w:after="0" w:afterAutospacing="0"/>
        <w:ind w:firstLineChars="200" w:firstLine="562"/>
        <w:rPr>
          <w:rFonts w:ascii="仿宋_GB2312" w:eastAsia="仿宋_GB2312"/>
          <w:color w:val="000000"/>
          <w:sz w:val="28"/>
        </w:rPr>
      </w:pPr>
      <w:r w:rsidRPr="000E3891">
        <w:rPr>
          <w:rFonts w:ascii="仿宋_GB2312" w:eastAsia="仿宋_GB2312" w:hint="eastAsia"/>
          <w:b/>
          <w:color w:val="000000"/>
          <w:sz w:val="28"/>
        </w:rPr>
        <w:t>第一条</w:t>
      </w:r>
      <w:r w:rsidR="006B0F23">
        <w:rPr>
          <w:rFonts w:ascii="仿宋_GB2312" w:eastAsia="仿宋_GB2312" w:hint="eastAsia"/>
          <w:color w:val="000000"/>
          <w:sz w:val="28"/>
        </w:rPr>
        <w:t xml:space="preserve"> </w:t>
      </w:r>
      <w:r w:rsidRPr="000E3891">
        <w:rPr>
          <w:rFonts w:ascii="仿宋_GB2312" w:eastAsia="仿宋_GB2312" w:hint="eastAsia"/>
          <w:color w:val="000000"/>
          <w:sz w:val="28"/>
        </w:rPr>
        <w:t>为了规范长安大学教育基金会（以下简称基金会）的工作职权和工作程序，加强对基金会活动情况的监督管理，结合基金会实际情况，制定本</w:t>
      </w:r>
      <w:r w:rsidR="00FE6F8F">
        <w:rPr>
          <w:rFonts w:ascii="仿宋_GB2312" w:eastAsia="仿宋_GB2312" w:hint="eastAsia"/>
          <w:color w:val="000000"/>
          <w:sz w:val="28"/>
        </w:rPr>
        <w:t>办法</w:t>
      </w:r>
      <w:r w:rsidRPr="000E3891">
        <w:rPr>
          <w:rFonts w:ascii="仿宋_GB2312" w:eastAsia="仿宋_GB2312" w:hint="eastAsia"/>
          <w:color w:val="000000"/>
          <w:sz w:val="28"/>
        </w:rPr>
        <w:t>。</w:t>
      </w:r>
    </w:p>
    <w:p w:rsidR="006B0F23" w:rsidRDefault="0067652C" w:rsidP="006B0F23">
      <w:pPr>
        <w:pStyle w:val="a3"/>
        <w:spacing w:before="0" w:beforeAutospacing="0" w:after="0" w:afterAutospacing="0"/>
        <w:ind w:firstLineChars="200" w:firstLine="562"/>
        <w:rPr>
          <w:rFonts w:ascii="仿宋_GB2312" w:eastAsia="仿宋_GB2312"/>
          <w:color w:val="000000"/>
          <w:sz w:val="28"/>
        </w:rPr>
      </w:pPr>
      <w:r w:rsidRPr="000E3891">
        <w:rPr>
          <w:rFonts w:ascii="仿宋_GB2312" w:eastAsia="仿宋_GB2312" w:hint="eastAsia"/>
          <w:b/>
          <w:color w:val="000000"/>
          <w:sz w:val="28"/>
        </w:rPr>
        <w:t>第二条</w:t>
      </w:r>
      <w:r w:rsidR="006B0F23">
        <w:rPr>
          <w:rFonts w:ascii="仿宋_GB2312" w:eastAsia="仿宋_GB2312"/>
          <w:color w:val="000000"/>
          <w:sz w:val="28"/>
        </w:rPr>
        <w:t xml:space="preserve"> </w:t>
      </w:r>
      <w:r w:rsidRPr="000E3891">
        <w:rPr>
          <w:rFonts w:ascii="仿宋_GB2312" w:eastAsia="仿宋_GB2312" w:hint="eastAsia"/>
          <w:color w:val="000000"/>
          <w:sz w:val="28"/>
        </w:rPr>
        <w:t>本办法所称的重大事项是指对基金会工作产生较大影响的事项，主要包括</w:t>
      </w:r>
      <w:bookmarkStart w:id="0" w:name="_GoBack"/>
      <w:bookmarkEnd w:id="0"/>
      <w:r w:rsidRPr="000E3891">
        <w:rPr>
          <w:rFonts w:ascii="仿宋_GB2312" w:eastAsia="仿宋_GB2312" w:hint="eastAsia"/>
          <w:color w:val="000000"/>
          <w:sz w:val="28"/>
        </w:rPr>
        <w:t>：</w:t>
      </w:r>
    </w:p>
    <w:p w:rsidR="006B0F23" w:rsidRDefault="0067652C" w:rsidP="006B0F2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color w:val="000000"/>
          <w:sz w:val="28"/>
        </w:rPr>
      </w:pPr>
      <w:r w:rsidRPr="000E3891">
        <w:rPr>
          <w:rFonts w:ascii="仿宋_GB2312" w:eastAsia="仿宋_GB2312" w:hint="eastAsia"/>
          <w:color w:val="000000"/>
          <w:sz w:val="28"/>
        </w:rPr>
        <w:t>制定、修改章程；</w:t>
      </w:r>
    </w:p>
    <w:p w:rsidR="006B0F23" w:rsidRDefault="0067652C" w:rsidP="006B0F2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color w:val="000000"/>
          <w:sz w:val="28"/>
        </w:rPr>
      </w:pPr>
      <w:r w:rsidRPr="000E3891">
        <w:rPr>
          <w:rFonts w:ascii="仿宋_GB2312" w:eastAsia="仿宋_GB2312" w:hint="eastAsia"/>
          <w:color w:val="000000"/>
          <w:sz w:val="28"/>
        </w:rPr>
        <w:t>机构及负责人调整；</w:t>
      </w:r>
    </w:p>
    <w:p w:rsidR="006B0F23" w:rsidRDefault="0067652C" w:rsidP="006B0F2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color w:val="000000"/>
          <w:sz w:val="28"/>
        </w:rPr>
      </w:pPr>
      <w:r w:rsidRPr="006B0F23">
        <w:rPr>
          <w:rFonts w:ascii="仿宋_GB2312" w:eastAsia="仿宋_GB2312" w:hint="eastAsia"/>
          <w:color w:val="000000"/>
          <w:sz w:val="28"/>
        </w:rPr>
        <w:t>重大捐赠项目；</w:t>
      </w:r>
    </w:p>
    <w:p w:rsidR="006B0F23" w:rsidRDefault="0067652C" w:rsidP="006B0F2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color w:val="000000"/>
          <w:sz w:val="28"/>
        </w:rPr>
      </w:pPr>
      <w:r w:rsidRPr="006B0F23">
        <w:rPr>
          <w:rFonts w:ascii="仿宋_GB2312" w:eastAsia="仿宋_GB2312" w:hint="eastAsia"/>
          <w:color w:val="000000"/>
          <w:sz w:val="28"/>
        </w:rPr>
        <w:t>投资理财规划；</w:t>
      </w:r>
    </w:p>
    <w:p w:rsidR="006B0F23" w:rsidRDefault="0067652C" w:rsidP="006B0F2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color w:val="000000"/>
          <w:sz w:val="28"/>
        </w:rPr>
      </w:pPr>
      <w:r w:rsidRPr="006B0F23">
        <w:rPr>
          <w:rFonts w:ascii="仿宋_GB2312" w:eastAsia="仿宋_GB2312" w:hint="eastAsia"/>
          <w:color w:val="000000"/>
          <w:sz w:val="28"/>
        </w:rPr>
        <w:t>发生投资理财风险（如投资本金出现亏损等）；</w:t>
      </w:r>
    </w:p>
    <w:p w:rsidR="006B0F23" w:rsidRDefault="0067652C" w:rsidP="006B0F2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color w:val="000000"/>
          <w:sz w:val="28"/>
        </w:rPr>
      </w:pPr>
      <w:r w:rsidRPr="006B0F23">
        <w:rPr>
          <w:rFonts w:ascii="仿宋_GB2312" w:eastAsia="仿宋_GB2312" w:hint="eastAsia"/>
          <w:color w:val="000000"/>
          <w:sz w:val="28"/>
        </w:rPr>
        <w:t>重大资产处置（包括转让、抵押、置换等）；</w:t>
      </w:r>
    </w:p>
    <w:p w:rsidR="006B0F23" w:rsidRDefault="0067652C" w:rsidP="006B0F2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color w:val="000000"/>
          <w:sz w:val="28"/>
        </w:rPr>
      </w:pPr>
      <w:r w:rsidRPr="006B0F23">
        <w:rPr>
          <w:rFonts w:ascii="仿宋_GB2312" w:eastAsia="仿宋_GB2312" w:hint="eastAsia"/>
          <w:color w:val="000000"/>
          <w:sz w:val="28"/>
        </w:rPr>
        <w:t>需公开的年度工作报告、年度审计报告；</w:t>
      </w:r>
    </w:p>
    <w:p w:rsidR="006B0F23" w:rsidRDefault="0067652C" w:rsidP="006B0F2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color w:val="000000"/>
          <w:sz w:val="28"/>
        </w:rPr>
      </w:pPr>
      <w:r w:rsidRPr="006B0F23">
        <w:rPr>
          <w:rFonts w:ascii="仿宋_GB2312" w:eastAsia="仿宋_GB2312" w:hint="eastAsia"/>
          <w:color w:val="000000"/>
          <w:sz w:val="28"/>
        </w:rPr>
        <w:t>与有关部门举办大型公益慈善活动；</w:t>
      </w:r>
    </w:p>
    <w:p w:rsidR="006B0F23" w:rsidRDefault="0067652C" w:rsidP="006B0F2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color w:val="000000"/>
          <w:sz w:val="28"/>
        </w:rPr>
      </w:pPr>
      <w:r w:rsidRPr="006B0F23">
        <w:rPr>
          <w:rFonts w:ascii="仿宋_GB2312" w:eastAsia="仿宋_GB2312" w:hint="eastAsia"/>
          <w:color w:val="000000"/>
          <w:sz w:val="28"/>
        </w:rPr>
        <w:t>发生诉讼、仲裁事项；</w:t>
      </w:r>
    </w:p>
    <w:p w:rsidR="006B0F23" w:rsidRDefault="0067652C" w:rsidP="006B0F2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color w:val="000000"/>
          <w:sz w:val="28"/>
        </w:rPr>
      </w:pPr>
      <w:r w:rsidRPr="006B0F23">
        <w:rPr>
          <w:rFonts w:ascii="仿宋_GB2312" w:eastAsia="仿宋_GB2312" w:hint="eastAsia"/>
          <w:color w:val="000000"/>
          <w:sz w:val="28"/>
        </w:rPr>
        <w:t>发生自然灾害及其他灾害性事故；</w:t>
      </w:r>
    </w:p>
    <w:p w:rsidR="006B0F23" w:rsidRDefault="0067652C" w:rsidP="006B0F2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color w:val="000000"/>
          <w:sz w:val="28"/>
        </w:rPr>
      </w:pPr>
      <w:r w:rsidRPr="006B0F23">
        <w:rPr>
          <w:rFonts w:ascii="仿宋_GB2312" w:eastAsia="仿宋_GB2312" w:hint="eastAsia"/>
          <w:color w:val="000000"/>
          <w:sz w:val="28"/>
        </w:rPr>
        <w:t>因外部条件发生重大变化造成重大影响的事项；</w:t>
      </w:r>
    </w:p>
    <w:p w:rsidR="0067652C" w:rsidRPr="006B0F23" w:rsidRDefault="0067652C" w:rsidP="006B0F23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仿宋_GB2312" w:eastAsia="仿宋_GB2312"/>
          <w:color w:val="000000"/>
          <w:sz w:val="28"/>
        </w:rPr>
      </w:pPr>
      <w:r w:rsidRPr="006B0F23">
        <w:rPr>
          <w:rFonts w:ascii="仿宋_GB2312" w:eastAsia="仿宋_GB2312" w:hint="eastAsia"/>
          <w:color w:val="000000"/>
          <w:sz w:val="28"/>
        </w:rPr>
        <w:t>其他重大事项。</w:t>
      </w:r>
    </w:p>
    <w:p w:rsidR="0067652C" w:rsidRPr="000E3891" w:rsidRDefault="0067652C" w:rsidP="006B0F23">
      <w:pPr>
        <w:pStyle w:val="a3"/>
        <w:spacing w:before="0" w:beforeAutospacing="0" w:after="0" w:afterAutospacing="0"/>
        <w:ind w:firstLineChars="200" w:firstLine="562"/>
        <w:rPr>
          <w:rFonts w:ascii="仿宋_GB2312" w:eastAsia="仿宋_GB2312"/>
          <w:color w:val="000000"/>
          <w:sz w:val="28"/>
        </w:rPr>
      </w:pPr>
      <w:r w:rsidRPr="000E3891">
        <w:rPr>
          <w:rFonts w:ascii="仿宋_GB2312" w:eastAsia="仿宋_GB2312" w:hint="eastAsia"/>
          <w:b/>
          <w:color w:val="000000"/>
          <w:sz w:val="28"/>
        </w:rPr>
        <w:t>第三条</w:t>
      </w:r>
      <w:r w:rsidR="006B0F23">
        <w:rPr>
          <w:rFonts w:ascii="仿宋_GB2312" w:eastAsia="仿宋_GB2312"/>
          <w:color w:val="000000"/>
          <w:sz w:val="28"/>
        </w:rPr>
        <w:t xml:space="preserve"> </w:t>
      </w:r>
      <w:r w:rsidRPr="000E3891">
        <w:rPr>
          <w:rFonts w:ascii="仿宋_GB2312" w:eastAsia="仿宋_GB2312" w:hint="eastAsia"/>
          <w:color w:val="000000"/>
          <w:sz w:val="28"/>
        </w:rPr>
        <w:t>符合第二条规定的重大事项应及时向基金会秘书处报告有关情况。由基金会秘书处报秘书长、理事长审核，报告理事会</w:t>
      </w:r>
    </w:p>
    <w:p w:rsidR="0067652C" w:rsidRPr="000E3891" w:rsidRDefault="0067652C" w:rsidP="006B0F23">
      <w:pPr>
        <w:pStyle w:val="a3"/>
        <w:spacing w:before="0" w:beforeAutospacing="0" w:after="0" w:afterAutospacing="0"/>
        <w:ind w:firstLineChars="200" w:firstLine="562"/>
        <w:rPr>
          <w:rFonts w:ascii="仿宋_GB2312" w:eastAsia="仿宋_GB2312"/>
          <w:color w:val="000000"/>
          <w:sz w:val="28"/>
        </w:rPr>
      </w:pPr>
      <w:r w:rsidRPr="000E3891">
        <w:rPr>
          <w:rFonts w:ascii="仿宋_GB2312" w:eastAsia="仿宋_GB2312" w:hint="eastAsia"/>
          <w:b/>
          <w:color w:val="000000"/>
          <w:sz w:val="28"/>
        </w:rPr>
        <w:lastRenderedPageBreak/>
        <w:t>第四条</w:t>
      </w:r>
      <w:r w:rsidRPr="000E3891">
        <w:rPr>
          <w:rFonts w:ascii="仿宋_GB2312" w:eastAsia="仿宋_GB2312"/>
          <w:color w:val="000000"/>
          <w:sz w:val="28"/>
        </w:rPr>
        <w:t> </w:t>
      </w:r>
      <w:r w:rsidRPr="000E3891">
        <w:rPr>
          <w:rFonts w:ascii="仿宋_GB2312" w:eastAsia="仿宋_GB2312" w:hint="eastAsia"/>
          <w:color w:val="000000"/>
          <w:sz w:val="28"/>
        </w:rPr>
        <w:t>根据发生的重大事项实际情况，按规定要求上报登记管理机关和业务主管单位。</w:t>
      </w:r>
    </w:p>
    <w:p w:rsidR="0067652C" w:rsidRPr="000E3891" w:rsidRDefault="0067652C" w:rsidP="006B0F23">
      <w:pPr>
        <w:pStyle w:val="a3"/>
        <w:spacing w:before="0" w:beforeAutospacing="0" w:after="0" w:afterAutospacing="0"/>
        <w:ind w:firstLineChars="200" w:firstLine="562"/>
        <w:rPr>
          <w:rFonts w:ascii="仿宋_GB2312" w:eastAsia="仿宋_GB2312"/>
          <w:color w:val="000000"/>
          <w:sz w:val="28"/>
        </w:rPr>
      </w:pPr>
      <w:r w:rsidRPr="000E3891">
        <w:rPr>
          <w:rFonts w:ascii="仿宋_GB2312" w:eastAsia="仿宋_GB2312" w:hint="eastAsia"/>
          <w:b/>
          <w:color w:val="000000"/>
          <w:sz w:val="28"/>
        </w:rPr>
        <w:t>第五条</w:t>
      </w:r>
      <w:r w:rsidRPr="000E3891">
        <w:rPr>
          <w:rFonts w:ascii="仿宋_GB2312" w:eastAsia="仿宋_GB2312"/>
          <w:color w:val="000000"/>
          <w:sz w:val="28"/>
        </w:rPr>
        <w:t> </w:t>
      </w:r>
      <w:r w:rsidRPr="000E3891">
        <w:rPr>
          <w:rFonts w:ascii="仿宋_GB2312" w:eastAsia="仿宋_GB2312" w:hint="eastAsia"/>
          <w:color w:val="000000"/>
          <w:sz w:val="28"/>
        </w:rPr>
        <w:t>对不按本办法规定报告重大事项的或故意漏报、瞒报、谎报重大事项的，将根据有关规定追究相关人员的责任。</w:t>
      </w:r>
    </w:p>
    <w:p w:rsidR="0067652C" w:rsidRPr="000E3891" w:rsidRDefault="0067652C" w:rsidP="006B0F23">
      <w:pPr>
        <w:pStyle w:val="a3"/>
        <w:spacing w:before="0" w:beforeAutospacing="0" w:after="0" w:afterAutospacing="0"/>
        <w:ind w:firstLineChars="200" w:firstLine="562"/>
        <w:rPr>
          <w:rFonts w:ascii="仿宋_GB2312" w:eastAsia="仿宋_GB2312"/>
          <w:color w:val="000000"/>
          <w:sz w:val="28"/>
        </w:rPr>
      </w:pPr>
      <w:r w:rsidRPr="000E3891">
        <w:rPr>
          <w:rFonts w:ascii="仿宋_GB2312" w:eastAsia="仿宋_GB2312" w:hint="eastAsia"/>
          <w:b/>
          <w:color w:val="000000"/>
          <w:sz w:val="28"/>
        </w:rPr>
        <w:t>第六条</w:t>
      </w:r>
      <w:r w:rsidR="006B0F23">
        <w:rPr>
          <w:rFonts w:ascii="仿宋_GB2312" w:eastAsia="仿宋_GB2312"/>
          <w:color w:val="000000"/>
          <w:sz w:val="28"/>
        </w:rPr>
        <w:t xml:space="preserve"> </w:t>
      </w:r>
      <w:r w:rsidRPr="000E3891">
        <w:rPr>
          <w:rFonts w:ascii="仿宋_GB2312" w:eastAsia="仿宋_GB2312" w:hint="eastAsia"/>
          <w:color w:val="000000"/>
          <w:sz w:val="28"/>
        </w:rPr>
        <w:t>本办法自发布起施行。</w:t>
      </w:r>
    </w:p>
    <w:p w:rsidR="0067652C" w:rsidRPr="000E3891" w:rsidRDefault="0067652C" w:rsidP="006B0F23">
      <w:pPr>
        <w:pStyle w:val="a3"/>
        <w:spacing w:before="0" w:beforeAutospacing="0" w:after="0" w:afterAutospacing="0"/>
        <w:ind w:firstLineChars="200" w:firstLine="562"/>
        <w:rPr>
          <w:rFonts w:ascii="仿宋_GB2312" w:eastAsia="仿宋_GB2312"/>
          <w:color w:val="000000"/>
          <w:sz w:val="28"/>
        </w:rPr>
      </w:pPr>
      <w:r w:rsidRPr="000E3891">
        <w:rPr>
          <w:rFonts w:ascii="仿宋_GB2312" w:eastAsia="仿宋_GB2312" w:hint="eastAsia"/>
          <w:b/>
          <w:color w:val="000000"/>
          <w:sz w:val="28"/>
        </w:rPr>
        <w:t>第七条</w:t>
      </w:r>
      <w:r w:rsidR="006B0F23">
        <w:rPr>
          <w:rFonts w:ascii="仿宋_GB2312" w:eastAsia="仿宋_GB2312"/>
          <w:color w:val="000000"/>
          <w:sz w:val="28"/>
        </w:rPr>
        <w:t xml:space="preserve"> </w:t>
      </w:r>
      <w:r w:rsidRPr="000E3891">
        <w:rPr>
          <w:rFonts w:ascii="仿宋_GB2312" w:eastAsia="仿宋_GB2312" w:hint="eastAsia"/>
          <w:color w:val="000000"/>
          <w:sz w:val="28"/>
        </w:rPr>
        <w:t>本办法由长安大学教育基金会理事会负责解释。</w:t>
      </w:r>
    </w:p>
    <w:p w:rsidR="0067652C" w:rsidRPr="006B0F23" w:rsidRDefault="0067652C" w:rsidP="0067652C">
      <w:pPr>
        <w:pStyle w:val="a3"/>
        <w:spacing w:before="0" w:beforeAutospacing="0" w:after="0" w:afterAutospacing="0"/>
        <w:rPr>
          <w:rFonts w:ascii="仿宋_GB2312" w:eastAsia="仿宋_GB2312"/>
          <w:color w:val="000000"/>
          <w:sz w:val="28"/>
        </w:rPr>
      </w:pPr>
    </w:p>
    <w:p w:rsidR="0083426B" w:rsidRPr="006B0F23" w:rsidRDefault="0067652C" w:rsidP="006B0F23">
      <w:pPr>
        <w:pStyle w:val="a3"/>
        <w:spacing w:before="0" w:beforeAutospacing="0" w:after="0" w:afterAutospacing="0"/>
        <w:ind w:firstLineChars="1400" w:firstLine="3935"/>
        <w:rPr>
          <w:rFonts w:ascii="仿宋_GB2312" w:eastAsia="仿宋_GB2312"/>
          <w:b/>
          <w:color w:val="000000"/>
          <w:sz w:val="28"/>
        </w:rPr>
      </w:pPr>
      <w:r w:rsidRPr="001230B7">
        <w:rPr>
          <w:rFonts w:ascii="仿宋_GB2312" w:eastAsia="仿宋_GB2312" w:hint="eastAsia"/>
          <w:b/>
          <w:color w:val="000000"/>
          <w:sz w:val="28"/>
        </w:rPr>
        <w:t>长安大学教育基金会</w:t>
      </w:r>
    </w:p>
    <w:sectPr w:rsidR="0083426B" w:rsidRPr="006B0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922" w:rsidRDefault="00F11922" w:rsidP="0067652C">
      <w:r>
        <w:separator/>
      </w:r>
    </w:p>
  </w:endnote>
  <w:endnote w:type="continuationSeparator" w:id="0">
    <w:p w:rsidR="00F11922" w:rsidRDefault="00F11922" w:rsidP="0067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922" w:rsidRDefault="00F11922" w:rsidP="0067652C">
      <w:r>
        <w:separator/>
      </w:r>
    </w:p>
  </w:footnote>
  <w:footnote w:type="continuationSeparator" w:id="0">
    <w:p w:rsidR="00F11922" w:rsidRDefault="00F11922" w:rsidP="0067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542FA"/>
    <w:multiLevelType w:val="hybridMultilevel"/>
    <w:tmpl w:val="97F64CDA"/>
    <w:lvl w:ilvl="0" w:tplc="9938A162">
      <w:start w:val="1"/>
      <w:numFmt w:val="decimal"/>
      <w:lvlText w:val="%1、"/>
      <w:lvlJc w:val="left"/>
      <w:pPr>
        <w:ind w:left="420" w:hanging="42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21"/>
    <w:rsid w:val="001230B7"/>
    <w:rsid w:val="00123D9F"/>
    <w:rsid w:val="00283FF0"/>
    <w:rsid w:val="002A57A4"/>
    <w:rsid w:val="0067652C"/>
    <w:rsid w:val="006B0F23"/>
    <w:rsid w:val="00714CE9"/>
    <w:rsid w:val="0083426B"/>
    <w:rsid w:val="008D4B17"/>
    <w:rsid w:val="00A97FFD"/>
    <w:rsid w:val="00C44A31"/>
    <w:rsid w:val="00CF2D21"/>
    <w:rsid w:val="00E11108"/>
    <w:rsid w:val="00F11922"/>
    <w:rsid w:val="00F81D2A"/>
    <w:rsid w:val="00FE6F8F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766DC"/>
  <w15:chartTrackingRefBased/>
  <w15:docId w15:val="{273622DF-E709-4FAB-AF83-B1C54033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F2D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76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652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6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6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晗微</dc:creator>
  <cp:keywords/>
  <dc:description/>
  <cp:lastModifiedBy>武 晗微</cp:lastModifiedBy>
  <cp:revision>7</cp:revision>
  <dcterms:created xsi:type="dcterms:W3CDTF">2020-11-27T07:20:00Z</dcterms:created>
  <dcterms:modified xsi:type="dcterms:W3CDTF">2020-12-07T02:03:00Z</dcterms:modified>
</cp:coreProperties>
</file>