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5EE" w:rsidRPr="00781569" w:rsidRDefault="00A525EE" w:rsidP="00A525EE">
      <w:pPr>
        <w:widowControl/>
        <w:wordWrap w:val="0"/>
        <w:spacing w:line="432" w:lineRule="auto"/>
        <w:jc w:val="center"/>
        <w:rPr>
          <w:rFonts w:ascii="宋体" w:eastAsia="宋体" w:hAnsi="宋体" w:cs="宋体"/>
          <w:color w:val="333333"/>
          <w:szCs w:val="21"/>
        </w:rPr>
      </w:pPr>
      <w:r w:rsidRPr="001470A6">
        <w:rPr>
          <w:rFonts w:ascii="华文中宋" w:eastAsia="华文中宋" w:hAnsi="华文中宋" w:cs="黑体" w:hint="eastAsia"/>
          <w:bCs/>
          <w:spacing w:val="20"/>
          <w:sz w:val="36"/>
          <w:szCs w:val="28"/>
        </w:rPr>
        <w:t>长安大学教育基金会投资管理办法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第一章 总则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="420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 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第一条 </w:t>
      </w:r>
      <w:r w:rsidRPr="000E3891">
        <w:rPr>
          <w:rFonts w:ascii="仿宋_GB2312" w:eastAsia="仿宋_GB2312" w:hint="eastAsia"/>
          <w:color w:val="000000"/>
          <w:sz w:val="28"/>
        </w:rPr>
        <w:t>为实现资金的保值增值，防范和化解各类资金风险，使资金更好地用于长安大学教育基金会（以下简称“基金会”）章程规定的公益事业，根据国务院《基金会管理条例》、民政部《关于规范基金会行为的若干规定（试行）》、《长安大学教育基金会章程》、《长安大学教育基金会财务管理办法》等有关规定，结合基金会实际，特制定本办法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第二条 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基金会的投资行为必须遵循合法性原则，严格遵守国家、地方法律法规，尊重投资的市场规律。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第三条 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基金会的投资行为必须遵循安全性原则，在综合考虑政策风险、信用风险、利率风险和流动性风险的前提下，实现资金运作收益最大化。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ind w:firstLine="555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第四条 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基金会的投资行为必须符合基金会宗旨，并遵守与捐赠人和受助人的约定，保证公益支出的实效性。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第二章 投资组织机构与职责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> </w:t>
      </w:r>
      <w:r w:rsidRPr="000E3891">
        <w:rPr>
          <w:rFonts w:ascii="仿宋_GB2312" w:eastAsia="仿宋_GB2312" w:hAnsi="宋体" w:cs="宋体"/>
          <w:b/>
          <w:bCs/>
          <w:color w:val="000000"/>
          <w:kern w:val="0"/>
          <w:sz w:val="28"/>
        </w:rPr>
        <w:t xml:space="preserve">  </w:t>
      </w:r>
      <w:r w:rsidRPr="000E3891">
        <w:rPr>
          <w:rFonts w:ascii="仿宋_GB2312" w:eastAsia="仿宋_GB2312" w:cs="宋体" w:hint="eastAsia"/>
          <w:b/>
          <w:bCs/>
          <w:color w:val="000000"/>
          <w:kern w:val="0"/>
          <w:sz w:val="28"/>
        </w:rPr>
        <w:t>第五条</w:t>
      </w:r>
      <w:r w:rsidRPr="000E3891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</w:rPr>
        <w:t xml:space="preserve"> 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理事会作为基金会的最高权力机构，拥有基金会资金运作的最终决策和监管的权力。应在每年的理事会上审议本年度的财务报告，</w:t>
      </w:r>
      <w:r w:rsidR="005955C7">
        <w:rPr>
          <w:rFonts w:ascii="仿宋_GB2312" w:eastAsia="仿宋_GB2312" w:hAnsi="宋体" w:cs="宋体" w:hint="eastAsia"/>
          <w:color w:val="000000"/>
          <w:kern w:val="0"/>
          <w:sz w:val="28"/>
        </w:rPr>
        <w:t>并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制定下一年度投资计划。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kern w:val="0"/>
          <w:sz w:val="28"/>
        </w:rPr>
        <w:lastRenderedPageBreak/>
        <w:t>第六条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 xml:space="preserve"> 基金会秘书处在理事会领导下具体负责制定投资计划，执行投资计划。主要职责包括：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在进行充分市场调研前提下，起草基金会投资计划；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执行理事会决议，具体负责投资计划的实施；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在委托投资行为中，审核受托人的背景资料，包括其法律地位、产品属性、资金实力、以往业绩等；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审核投资合同、协议；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对投资状况进行监控，包括资金收益和损失情况等，发现问题及时向理事会报告；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定期报告投资计划进展和执行情况；</w:t>
      </w:r>
    </w:p>
    <w:p w:rsidR="00A525EE" w:rsidRPr="000E3891" w:rsidRDefault="00A525EE" w:rsidP="00A525EE">
      <w:pPr>
        <w:pStyle w:val="a9"/>
        <w:widowControl/>
        <w:numPr>
          <w:ilvl w:val="0"/>
          <w:numId w:val="1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为投资项目建立专项档案，完整保存投资论证、审批、管理和回收等过程的资料。</w:t>
      </w:r>
    </w:p>
    <w:p w:rsidR="00A525EE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第七条 </w:t>
      </w:r>
      <w:r w:rsidRPr="000E3891">
        <w:rPr>
          <w:rFonts w:ascii="仿宋_GB2312" w:eastAsia="仿宋_GB2312" w:hint="eastAsia"/>
          <w:color w:val="000000"/>
          <w:sz w:val="28"/>
        </w:rPr>
        <w:t>建立规范的投资决策议事规则，投资计划必须经过理事会决策同意方可执行。</w:t>
      </w:r>
      <w:r w:rsidRPr="000E3891">
        <w:rPr>
          <w:rFonts w:ascii="仿宋_GB2312" w:eastAsia="仿宋_GB2312" w:hAnsi="宋体" w:cs="宋体" w:hint="eastAsia"/>
          <w:color w:val="000000"/>
          <w:sz w:val="28"/>
        </w:rPr>
        <w:t>理事会授权</w:t>
      </w:r>
      <w:r w:rsidRPr="000E3891">
        <w:rPr>
          <w:rFonts w:ascii="仿宋_GB2312" w:eastAsia="仿宋_GB2312" w:hint="eastAsia"/>
          <w:color w:val="000000"/>
          <w:sz w:val="28"/>
        </w:rPr>
        <w:t>秘书处</w:t>
      </w:r>
      <w:r w:rsidRPr="000E3891">
        <w:rPr>
          <w:rFonts w:ascii="仿宋_GB2312" w:eastAsia="仿宋_GB2312" w:hAnsi="宋体" w:cs="宋体" w:hint="eastAsia"/>
          <w:color w:val="000000"/>
          <w:sz w:val="28"/>
        </w:rPr>
        <w:t>开展投资活动的，投资计划</w:t>
      </w:r>
      <w:r w:rsidRPr="000E3891">
        <w:rPr>
          <w:rFonts w:ascii="仿宋_GB2312" w:eastAsia="仿宋_GB2312" w:hint="eastAsia"/>
          <w:color w:val="000000"/>
          <w:sz w:val="28"/>
        </w:rPr>
        <w:t>需</w:t>
      </w:r>
      <w:r w:rsidRPr="000E3891">
        <w:rPr>
          <w:rFonts w:ascii="仿宋_GB2312" w:eastAsia="仿宋_GB2312" w:hAnsi="宋体" w:cs="宋体" w:hint="eastAsia"/>
          <w:color w:val="000000"/>
          <w:sz w:val="28"/>
        </w:rPr>
        <w:t>报理事会决策，投资结果必须向理事会汇报，投资责任仍由理事会承担。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第八条 </w:t>
      </w:r>
      <w:r w:rsidRPr="000E3891">
        <w:rPr>
          <w:rFonts w:ascii="仿宋_GB2312" w:eastAsia="仿宋_GB2312" w:hint="eastAsia"/>
          <w:color w:val="000000"/>
          <w:sz w:val="28"/>
        </w:rPr>
        <w:t>监事会负责对投资行为进行监督，</w:t>
      </w:r>
      <w:r w:rsidRPr="0023213C">
        <w:rPr>
          <w:rFonts w:ascii="仿宋_GB2312" w:eastAsia="仿宋_GB2312" w:hint="eastAsia"/>
          <w:color w:val="000000"/>
          <w:sz w:val="28"/>
        </w:rPr>
        <w:t>并对不合理或存在较大风险的投资行为进行质询和建议。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第三章 投资的资金来源</w:t>
      </w:r>
    </w:p>
    <w:p w:rsidR="00A525EE" w:rsidRDefault="00A525EE" w:rsidP="00A525EE">
      <w:pPr>
        <w:widowControl/>
        <w:shd w:val="clear" w:color="auto" w:fill="FFFFFF"/>
        <w:spacing w:after="150" w:line="24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lastRenderedPageBreak/>
        <w:t xml:space="preserve">第九条 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基金会的投资资产限于留本基金、非限定性资金和暂不需要拨付的限定性资金。</w:t>
      </w:r>
    </w:p>
    <w:p w:rsidR="00A525EE" w:rsidRDefault="00A525EE" w:rsidP="00A525EE">
      <w:pPr>
        <w:widowControl/>
        <w:shd w:val="clear" w:color="auto" w:fill="FFFFFF"/>
        <w:spacing w:after="150" w:line="24" w:lineRule="atLeast"/>
        <w:ind w:firstLineChars="200" w:firstLine="562"/>
        <w:jc w:val="left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第十条 </w:t>
      </w:r>
      <w:r w:rsidRPr="000E3891">
        <w:rPr>
          <w:rFonts w:ascii="仿宋_GB2312" w:eastAsia="仿宋_GB2312" w:hint="eastAsia"/>
          <w:color w:val="000000"/>
          <w:sz w:val="28"/>
        </w:rPr>
        <w:t>捐赠人对于其捐赠</w:t>
      </w:r>
      <w:proofErr w:type="gramStart"/>
      <w:r w:rsidRPr="000E3891">
        <w:rPr>
          <w:rFonts w:ascii="仿宋_GB2312" w:eastAsia="仿宋_GB2312" w:hint="eastAsia"/>
          <w:color w:val="000000"/>
          <w:sz w:val="28"/>
        </w:rPr>
        <w:t>款投资</w:t>
      </w:r>
      <w:proofErr w:type="gramEnd"/>
      <w:r w:rsidRPr="000E3891">
        <w:rPr>
          <w:rFonts w:ascii="仿宋_GB2312" w:eastAsia="仿宋_GB2312" w:hint="eastAsia"/>
          <w:color w:val="000000"/>
          <w:sz w:val="28"/>
        </w:rPr>
        <w:t>有限制性意见的，基金会不能违背捐赠人意愿开展投资活动。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ind w:firstLineChars="200" w:firstLine="562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第十一条 </w:t>
      </w:r>
      <w:r w:rsidRPr="000E3891">
        <w:rPr>
          <w:rFonts w:ascii="仿宋_GB2312" w:eastAsia="仿宋_GB2312" w:hint="eastAsia"/>
          <w:color w:val="000000"/>
          <w:sz w:val="28"/>
        </w:rPr>
        <w:t>基金会必须持有充足的现金、银行存款和货币市场基金等流动性较高的资产，确保待拨付捐赠资金按捐赠协议的约定及时、足额划拨。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第四章 投资的范围和条件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第十二条 </w:t>
      </w:r>
      <w:r w:rsidRPr="000E3891">
        <w:rPr>
          <w:rFonts w:ascii="仿宋_GB2312" w:eastAsia="仿宋_GB2312" w:hint="eastAsia"/>
          <w:color w:val="000000"/>
          <w:sz w:val="28"/>
        </w:rPr>
        <w:t>基金会投资范围包括：</w:t>
      </w:r>
    </w:p>
    <w:p w:rsidR="00A525EE" w:rsidRPr="000E3891" w:rsidRDefault="00A525EE" w:rsidP="00A525EE">
      <w:pPr>
        <w:pStyle w:val="a9"/>
        <w:widowControl/>
        <w:numPr>
          <w:ilvl w:val="0"/>
          <w:numId w:val="2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定期存款；</w:t>
      </w:r>
    </w:p>
    <w:p w:rsidR="00A525EE" w:rsidRPr="000E3891" w:rsidRDefault="00A525EE" w:rsidP="00A525EE">
      <w:pPr>
        <w:pStyle w:val="a9"/>
        <w:widowControl/>
        <w:numPr>
          <w:ilvl w:val="0"/>
          <w:numId w:val="2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低风险的货币市场类或固定收益类金融产品，包括：国债、保本型银行理财产品等；</w:t>
      </w:r>
    </w:p>
    <w:p w:rsidR="00A525EE" w:rsidRPr="000E3891" w:rsidRDefault="00A525EE" w:rsidP="00A525EE">
      <w:pPr>
        <w:pStyle w:val="a9"/>
        <w:widowControl/>
        <w:numPr>
          <w:ilvl w:val="0"/>
          <w:numId w:val="2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委托银行或者其他金融机构进行的投资；</w:t>
      </w:r>
    </w:p>
    <w:p w:rsidR="00A525EE" w:rsidRPr="000E3891" w:rsidRDefault="00A525EE" w:rsidP="00A525EE">
      <w:pPr>
        <w:pStyle w:val="a9"/>
        <w:widowControl/>
        <w:numPr>
          <w:ilvl w:val="0"/>
          <w:numId w:val="2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投资不动产。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第十三条 </w:t>
      </w:r>
      <w:r w:rsidRPr="000E3891">
        <w:rPr>
          <w:rFonts w:ascii="仿宋_GB2312" w:eastAsia="仿宋_GB2312" w:hint="eastAsia"/>
          <w:color w:val="000000"/>
          <w:sz w:val="28"/>
        </w:rPr>
        <w:t>基金会的投资禁止以下行为：</w:t>
      </w:r>
    </w:p>
    <w:p w:rsidR="00A525EE" w:rsidRPr="000E3891" w:rsidRDefault="00A525EE" w:rsidP="00A525EE">
      <w:pPr>
        <w:pStyle w:val="a9"/>
        <w:widowControl/>
        <w:numPr>
          <w:ilvl w:val="0"/>
          <w:numId w:val="3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提供经济担保或财产担保；</w:t>
      </w:r>
    </w:p>
    <w:p w:rsidR="00A525EE" w:rsidRPr="000E3891" w:rsidRDefault="00A525EE" w:rsidP="00A525EE">
      <w:pPr>
        <w:pStyle w:val="a9"/>
        <w:widowControl/>
        <w:numPr>
          <w:ilvl w:val="0"/>
          <w:numId w:val="3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投资于期货、期权等高风险金融产品；</w:t>
      </w:r>
    </w:p>
    <w:p w:rsidR="00A525EE" w:rsidRPr="000E3891" w:rsidRDefault="00A525EE" w:rsidP="00A525EE">
      <w:pPr>
        <w:pStyle w:val="a9"/>
        <w:widowControl/>
        <w:numPr>
          <w:ilvl w:val="0"/>
          <w:numId w:val="3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从事违背基金会宗旨、有损基金会信誉的投资行为；</w:t>
      </w:r>
    </w:p>
    <w:p w:rsidR="00A525EE" w:rsidRPr="004A1AE1" w:rsidRDefault="00A525EE" w:rsidP="004A1AE1">
      <w:pPr>
        <w:pStyle w:val="a9"/>
        <w:widowControl/>
        <w:numPr>
          <w:ilvl w:val="0"/>
          <w:numId w:val="3"/>
        </w:numPr>
        <w:shd w:val="clear" w:color="auto" w:fill="FFFFFF"/>
        <w:spacing w:after="150" w:line="24" w:lineRule="atLeast"/>
        <w:ind w:firstLineChars="0"/>
        <w:jc w:val="left"/>
        <w:rPr>
          <w:rFonts w:ascii="仿宋_GB2312" w:eastAsia="仿宋_GB2312" w:hAnsi="宋体" w:cs="宋体"/>
          <w:color w:val="000000"/>
          <w:kern w:val="0"/>
          <w:sz w:val="28"/>
          <w:szCs w:val="24"/>
        </w:rPr>
      </w:pPr>
      <w:r w:rsidRPr="000E3891">
        <w:rPr>
          <w:rFonts w:ascii="仿宋_GB2312" w:eastAsia="仿宋_GB2312" w:hAnsi="宋体" w:cs="宋体" w:hint="eastAsia"/>
          <w:color w:val="000000"/>
          <w:kern w:val="0"/>
          <w:sz w:val="28"/>
          <w:szCs w:val="24"/>
        </w:rPr>
        <w:t>国家法律法规禁止的其他投资行为。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lastRenderedPageBreak/>
        <w:t xml:space="preserve">第五章 </w:t>
      </w:r>
      <w:r w:rsidRPr="000E3891">
        <w:rPr>
          <w:rFonts w:ascii="仿宋_GB2312" w:eastAsia="仿宋_GB2312"/>
          <w:b/>
          <w:bCs/>
          <w:color w:val="000000"/>
          <w:sz w:val="28"/>
        </w:rPr>
        <w:t xml:space="preserve">  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>投资管理与监督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 w:hAnsi="宋体" w:cs="宋体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</w:t>
      </w:r>
      <w:r>
        <w:rPr>
          <w:rFonts w:ascii="仿宋_GB2312" w:eastAsia="仿宋_GB2312" w:hint="eastAsia"/>
          <w:b/>
          <w:bCs/>
          <w:color w:val="000000"/>
          <w:sz w:val="28"/>
        </w:rPr>
        <w:t>十四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条 </w:t>
      </w:r>
      <w:r w:rsidRPr="000E3891">
        <w:rPr>
          <w:rFonts w:ascii="仿宋_GB2312" w:eastAsia="仿宋_GB2312" w:hint="eastAsia"/>
          <w:color w:val="000000"/>
          <w:sz w:val="28"/>
        </w:rPr>
        <w:t>基金会投资行为应按上级主管部门和登记管理机关规定予以公布，并接受社会监督。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</w:t>
      </w:r>
      <w:r>
        <w:rPr>
          <w:rFonts w:ascii="仿宋_GB2312" w:eastAsia="仿宋_GB2312" w:hint="eastAsia"/>
          <w:b/>
          <w:bCs/>
          <w:color w:val="000000"/>
          <w:sz w:val="28"/>
        </w:rPr>
        <w:t>十五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条 </w:t>
      </w:r>
      <w:r w:rsidRPr="000E3891">
        <w:rPr>
          <w:rFonts w:ascii="仿宋_GB2312" w:eastAsia="仿宋_GB2312" w:hint="eastAsia"/>
          <w:color w:val="000000"/>
          <w:sz w:val="28"/>
        </w:rPr>
        <w:t>发生以下行为，基金会应当对有关责任人员视情节轻重给予警告、辞退或开除处分；造成资产损失的，根据理事会决议进行赔偿；触犯法律的，移交司法机关处理：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1、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未经规定程序审批，擅自进行投资行为；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2、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在投资行为中，利用基金会资产为自己或他人谋取私利；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3、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玩忽职守；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4、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在投资行为中泄露秘密；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left"/>
        <w:rPr>
          <w:rFonts w:ascii="仿宋_GB2312" w:eastAsia="仿宋_GB2312" w:hAnsi="宋体" w:cs="宋体"/>
          <w:color w:val="000000"/>
          <w:kern w:val="0"/>
          <w:sz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</w:rPr>
        <w:t>5、</w:t>
      </w:r>
      <w:r w:rsidRPr="000E3891">
        <w:rPr>
          <w:rFonts w:ascii="仿宋_GB2312" w:eastAsia="仿宋_GB2312" w:hAnsi="宋体" w:cs="宋体" w:hint="eastAsia"/>
          <w:color w:val="000000"/>
          <w:kern w:val="0"/>
          <w:sz w:val="28"/>
        </w:rPr>
        <w:t>其他可能损害基金会信誉或可能造成基金会资产损失的行为。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</w:t>
      </w:r>
      <w:r>
        <w:rPr>
          <w:rFonts w:ascii="仿宋_GB2312" w:eastAsia="仿宋_GB2312" w:hint="eastAsia"/>
          <w:b/>
          <w:bCs/>
          <w:color w:val="000000"/>
          <w:sz w:val="28"/>
        </w:rPr>
        <w:t>十六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条 </w:t>
      </w:r>
      <w:r w:rsidRPr="000E3891">
        <w:rPr>
          <w:rFonts w:ascii="仿宋_GB2312" w:eastAsia="仿宋_GB2312" w:hint="eastAsia"/>
          <w:color w:val="000000"/>
          <w:sz w:val="28"/>
        </w:rPr>
        <w:t>因国家法律、政策发生重大变化或出现自然灾害等不可抗力原因造成资产损失的，不追究相关管理人员责任。</w:t>
      </w:r>
    </w:p>
    <w:p w:rsidR="00A525EE" w:rsidRPr="000E3891" w:rsidRDefault="00A525EE" w:rsidP="00A525EE">
      <w:pPr>
        <w:widowControl/>
        <w:shd w:val="clear" w:color="auto" w:fill="FFFFFF"/>
        <w:spacing w:after="150" w:line="24" w:lineRule="atLeast"/>
        <w:jc w:val="center"/>
        <w:rPr>
          <w:rFonts w:ascii="仿宋_GB2312" w:eastAsia="仿宋_GB2312" w:hAnsi="宋体" w:cs="宋体"/>
          <w:color w:val="000000"/>
          <w:kern w:val="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 xml:space="preserve">第六章 </w:t>
      </w:r>
      <w:r w:rsidRPr="000E3891">
        <w:rPr>
          <w:rFonts w:ascii="仿宋_GB2312" w:eastAsia="仿宋_GB2312"/>
          <w:b/>
          <w:bCs/>
          <w:color w:val="000000"/>
          <w:sz w:val="28"/>
        </w:rPr>
        <w:t xml:space="preserve">  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>附则</w:t>
      </w:r>
    </w:p>
    <w:p w:rsidR="00A525EE" w:rsidRPr="000E3891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</w:t>
      </w:r>
      <w:r>
        <w:rPr>
          <w:rFonts w:ascii="仿宋_GB2312" w:eastAsia="仿宋_GB2312" w:hint="eastAsia"/>
          <w:b/>
          <w:bCs/>
          <w:color w:val="000000"/>
          <w:sz w:val="28"/>
        </w:rPr>
        <w:t>十七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>条</w:t>
      </w:r>
      <w:r w:rsidRPr="000E3891">
        <w:rPr>
          <w:rFonts w:ascii="仿宋_GB2312" w:eastAsia="仿宋_GB2312" w:hint="eastAsia"/>
          <w:color w:val="000000"/>
          <w:sz w:val="28"/>
        </w:rPr>
        <w:t> </w:t>
      </w:r>
      <w:r w:rsidRPr="000E3891">
        <w:rPr>
          <w:rFonts w:ascii="仿宋_GB2312" w:eastAsia="仿宋_GB2312" w:hint="eastAsia"/>
          <w:color w:val="000000"/>
          <w:sz w:val="28"/>
        </w:rPr>
        <w:t>本办法自发布起施行。</w:t>
      </w:r>
    </w:p>
    <w:p w:rsidR="00A525EE" w:rsidRDefault="00A525EE" w:rsidP="00A525EE">
      <w:pPr>
        <w:pStyle w:val="a3"/>
        <w:shd w:val="clear" w:color="auto" w:fill="FFFFFF"/>
        <w:spacing w:after="150" w:afterAutospacing="0" w:line="24" w:lineRule="atLeast"/>
        <w:ind w:firstLineChars="200" w:firstLine="562"/>
        <w:rPr>
          <w:rFonts w:ascii="仿宋_GB2312" w:eastAsia="仿宋_GB2312"/>
          <w:color w:val="000000"/>
          <w:sz w:val="28"/>
        </w:rPr>
      </w:pPr>
      <w:r w:rsidRPr="000E3891">
        <w:rPr>
          <w:rFonts w:ascii="仿宋_GB2312" w:eastAsia="仿宋_GB2312" w:hint="eastAsia"/>
          <w:b/>
          <w:bCs/>
          <w:color w:val="000000"/>
          <w:sz w:val="28"/>
        </w:rPr>
        <w:t>第</w:t>
      </w:r>
      <w:r>
        <w:rPr>
          <w:rFonts w:ascii="仿宋_GB2312" w:eastAsia="仿宋_GB2312" w:hint="eastAsia"/>
          <w:b/>
          <w:bCs/>
          <w:color w:val="000000"/>
          <w:sz w:val="28"/>
        </w:rPr>
        <w:t>十八</w:t>
      </w:r>
      <w:r w:rsidRPr="000E3891">
        <w:rPr>
          <w:rFonts w:ascii="仿宋_GB2312" w:eastAsia="仿宋_GB2312" w:hint="eastAsia"/>
          <w:b/>
          <w:bCs/>
          <w:color w:val="000000"/>
          <w:sz w:val="28"/>
        </w:rPr>
        <w:t>条</w:t>
      </w:r>
      <w:r w:rsidRPr="000E3891">
        <w:rPr>
          <w:rFonts w:ascii="仿宋_GB2312" w:eastAsia="仿宋_GB2312" w:hint="eastAsia"/>
          <w:color w:val="000000"/>
          <w:sz w:val="28"/>
        </w:rPr>
        <w:t> </w:t>
      </w:r>
      <w:r w:rsidRPr="000E3891">
        <w:rPr>
          <w:rFonts w:ascii="仿宋_GB2312" w:eastAsia="仿宋_GB2312" w:hint="eastAsia"/>
          <w:color w:val="000000"/>
          <w:sz w:val="28"/>
        </w:rPr>
        <w:t>本办法由长安大学教育基金</w:t>
      </w:r>
      <w:bookmarkStart w:id="0" w:name="_GoBack"/>
      <w:bookmarkEnd w:id="0"/>
      <w:r w:rsidRPr="000E3891">
        <w:rPr>
          <w:rFonts w:ascii="仿宋_GB2312" w:eastAsia="仿宋_GB2312" w:hint="eastAsia"/>
          <w:color w:val="000000"/>
          <w:sz w:val="28"/>
        </w:rPr>
        <w:t>会负责解释与修订。</w:t>
      </w:r>
    </w:p>
    <w:p w:rsidR="00ED76F8" w:rsidRPr="004A1AE1" w:rsidRDefault="00A525EE" w:rsidP="004A1AE1">
      <w:pPr>
        <w:pStyle w:val="a3"/>
        <w:shd w:val="clear" w:color="auto" w:fill="FFFFFF"/>
        <w:spacing w:after="150" w:afterAutospacing="0" w:line="24" w:lineRule="atLeast"/>
        <w:ind w:firstLineChars="1600" w:firstLine="4498"/>
        <w:rPr>
          <w:rFonts w:ascii="仿宋_GB2312" w:eastAsia="仿宋_GB2312" w:hint="eastAsia"/>
          <w:b/>
          <w:color w:val="000000"/>
          <w:sz w:val="28"/>
        </w:rPr>
      </w:pPr>
      <w:r w:rsidRPr="00A525EE">
        <w:rPr>
          <w:rFonts w:ascii="仿宋_GB2312" w:eastAsia="仿宋_GB2312" w:hint="eastAsia"/>
          <w:b/>
          <w:color w:val="000000"/>
          <w:sz w:val="28"/>
        </w:rPr>
        <w:t>长安大学教育基金会</w:t>
      </w:r>
    </w:p>
    <w:sectPr w:rsidR="00ED76F8" w:rsidRPr="004A1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7E1" w:rsidRDefault="002B27E1" w:rsidP="00A525EE">
      <w:r>
        <w:separator/>
      </w:r>
    </w:p>
  </w:endnote>
  <w:endnote w:type="continuationSeparator" w:id="0">
    <w:p w:rsidR="002B27E1" w:rsidRDefault="002B27E1" w:rsidP="00A5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7E1" w:rsidRDefault="002B27E1" w:rsidP="00A525EE">
      <w:r>
        <w:separator/>
      </w:r>
    </w:p>
  </w:footnote>
  <w:footnote w:type="continuationSeparator" w:id="0">
    <w:p w:rsidR="002B27E1" w:rsidRDefault="002B27E1" w:rsidP="00A5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26305"/>
    <w:multiLevelType w:val="hybridMultilevel"/>
    <w:tmpl w:val="4FA4B52A"/>
    <w:lvl w:ilvl="0" w:tplc="C4D48D9A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8597973"/>
    <w:multiLevelType w:val="hybridMultilevel"/>
    <w:tmpl w:val="7F0C828A"/>
    <w:lvl w:ilvl="0" w:tplc="8A50B8C2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DE188A"/>
    <w:multiLevelType w:val="hybridMultilevel"/>
    <w:tmpl w:val="65D63284"/>
    <w:lvl w:ilvl="0" w:tplc="3E526124">
      <w:start w:val="1"/>
      <w:numFmt w:val="decimal"/>
      <w:lvlText w:val="%1、"/>
      <w:lvlJc w:val="left"/>
      <w:pPr>
        <w:ind w:left="420" w:hanging="4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76F8"/>
    <w:rsid w:val="0023213C"/>
    <w:rsid w:val="002B27E1"/>
    <w:rsid w:val="003B4E4D"/>
    <w:rsid w:val="004A1AE1"/>
    <w:rsid w:val="005955C7"/>
    <w:rsid w:val="00600227"/>
    <w:rsid w:val="009454DC"/>
    <w:rsid w:val="00A164E4"/>
    <w:rsid w:val="00A525EE"/>
    <w:rsid w:val="00D57638"/>
    <w:rsid w:val="00E277E1"/>
    <w:rsid w:val="00ED76F8"/>
    <w:rsid w:val="00F21CFF"/>
    <w:rsid w:val="1A283D51"/>
    <w:rsid w:val="1DA46A2A"/>
    <w:rsid w:val="58F6458B"/>
    <w:rsid w:val="677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19902"/>
  <w15:docId w15:val="{92865D3F-B95F-4B3E-962C-1E854A4A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A525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25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A52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25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525EE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武 晗微</cp:lastModifiedBy>
  <cp:revision>8</cp:revision>
  <dcterms:created xsi:type="dcterms:W3CDTF">2020-11-23T02:54:00Z</dcterms:created>
  <dcterms:modified xsi:type="dcterms:W3CDTF">2020-12-07T01:49:00Z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